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A24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10" w:afterAutospacing="0" w:line="590" w:lineRule="exact"/>
        <w:ind w:left="0" w:right="0" w:firstLine="0"/>
        <w:jc w:val="center"/>
        <w:textAlignment w:val="auto"/>
        <w:rPr>
          <w:rFonts w:hint="eastAsia" w:ascii="方正小标宋简体" w:hAnsi="方正小标宋简体" w:eastAsia="方正小标宋简体" w:cs="方正小标宋简体"/>
          <w:b w:val="0"/>
          <w:bCs w:val="0"/>
          <w:color w:val="333333"/>
          <w:spacing w:val="8"/>
          <w:kern w:val="36"/>
          <w:sz w:val="44"/>
          <w:szCs w:val="44"/>
        </w:rPr>
      </w:pPr>
      <w:r>
        <w:rPr>
          <w:rFonts w:hint="eastAsia" w:ascii="方正小标宋简体" w:hAnsi="方正小标宋简体" w:eastAsia="方正小标宋简体" w:cs="方正小标宋简体"/>
          <w:b w:val="0"/>
          <w:bCs w:val="0"/>
          <w:color w:val="333333"/>
          <w:spacing w:val="8"/>
          <w:kern w:val="36"/>
          <w:sz w:val="44"/>
          <w:szCs w:val="44"/>
          <w:lang w:eastAsia="zh-CN"/>
        </w:rPr>
        <w:t>第十一讲</w:t>
      </w:r>
      <w:r>
        <w:rPr>
          <w:rFonts w:hint="eastAsia" w:ascii="方正小标宋简体" w:hAnsi="方正小标宋简体" w:eastAsia="方正小标宋简体" w:cs="方正小标宋简体"/>
          <w:b w:val="0"/>
          <w:bCs w:val="0"/>
          <w:color w:val="333333"/>
          <w:spacing w:val="8"/>
          <w:kern w:val="36"/>
          <w:sz w:val="44"/>
          <w:szCs w:val="44"/>
          <w:lang w:val="en-US" w:eastAsia="zh-CN"/>
        </w:rPr>
        <w:t xml:space="preserve">  </w:t>
      </w:r>
      <w:r>
        <w:rPr>
          <w:rFonts w:hint="eastAsia" w:ascii="方正小标宋简体" w:hAnsi="方正小标宋简体" w:eastAsia="方正小标宋简体" w:cs="方正小标宋简体"/>
          <w:b w:val="0"/>
          <w:bCs w:val="0"/>
          <w:color w:val="333333"/>
          <w:spacing w:val="8"/>
          <w:kern w:val="36"/>
          <w:sz w:val="44"/>
          <w:szCs w:val="44"/>
        </w:rPr>
        <w:t>成人肥胖食养指南2024年版</w:t>
      </w:r>
    </w:p>
    <w:p w14:paraId="3EB047FA">
      <w:pPr>
        <w:keepNext w:val="0"/>
        <w:keepLines w:val="0"/>
        <w:pageBreakBefore w:val="0"/>
        <w:kinsoku/>
        <w:wordWrap/>
        <w:overflowPunct/>
        <w:topLinePunct w:val="0"/>
        <w:autoSpaceDE/>
        <w:autoSpaceDN/>
        <w:bidi w:val="0"/>
        <w:adjustRightInd/>
        <w:snapToGrid/>
        <w:spacing w:line="590" w:lineRule="exact"/>
        <w:ind w:firstLine="672" w:firstLineChars="200"/>
        <w:jc w:val="center"/>
        <w:textAlignment w:val="auto"/>
        <w:rPr>
          <w:rFonts w:hint="eastAsia" w:ascii="仿宋_GB2312" w:hAnsi="仿宋_GB2312" w:eastAsia="仿宋_GB2312" w:cs="仿宋_GB2312"/>
          <w:spacing w:val="8"/>
          <w:sz w:val="32"/>
          <w:szCs w:val="32"/>
          <w:shd w:val="clear" w:color="auto" w:fill="FFFFFF"/>
          <w:lang w:val="en-US" w:eastAsia="zh-CN"/>
        </w:rPr>
      </w:pPr>
      <w:r>
        <w:rPr>
          <w:rFonts w:hint="eastAsia" w:ascii="仿宋_GB2312" w:hAnsi="仿宋_GB2312" w:eastAsia="仿宋_GB2312" w:cs="仿宋_GB2312"/>
          <w:spacing w:val="8"/>
          <w:sz w:val="32"/>
          <w:szCs w:val="32"/>
          <w:shd w:val="clear" w:color="auto" w:fill="FFFFFF"/>
          <w:lang w:eastAsia="zh-CN"/>
        </w:rPr>
        <w:t>福建省立医院金山院区</w:t>
      </w:r>
      <w:r>
        <w:rPr>
          <w:rFonts w:hint="eastAsia" w:ascii="仿宋_GB2312" w:hAnsi="仿宋_GB2312" w:eastAsia="仿宋_GB2312" w:cs="仿宋_GB2312"/>
          <w:spacing w:val="8"/>
          <w:sz w:val="32"/>
          <w:szCs w:val="32"/>
          <w:shd w:val="clear" w:color="auto" w:fill="FFFFFF"/>
          <w:lang w:val="en-US" w:eastAsia="zh-CN"/>
        </w:rPr>
        <w:t xml:space="preserve">  叶梅 陈宝钗</w:t>
      </w:r>
    </w:p>
    <w:p w14:paraId="0EB35839">
      <w:pPr>
        <w:keepNext w:val="0"/>
        <w:keepLines w:val="0"/>
        <w:pageBreakBefore w:val="0"/>
        <w:kinsoku/>
        <w:wordWrap/>
        <w:overflowPunct/>
        <w:topLinePunct w:val="0"/>
        <w:autoSpaceDE/>
        <w:autoSpaceDN/>
        <w:bidi w:val="0"/>
        <w:adjustRightInd/>
        <w:snapToGrid/>
        <w:spacing w:line="590" w:lineRule="exact"/>
        <w:ind w:firstLine="672" w:firstLineChars="200"/>
        <w:jc w:val="center"/>
        <w:textAlignment w:val="auto"/>
        <w:rPr>
          <w:rFonts w:hint="eastAsia" w:ascii="仿宋_GB2312" w:hAnsi="仿宋_GB2312" w:eastAsia="仿宋_GB2312" w:cs="仿宋_GB2312"/>
          <w:spacing w:val="8"/>
          <w:sz w:val="32"/>
          <w:szCs w:val="32"/>
          <w:shd w:val="clear" w:color="auto" w:fill="FFFFFF"/>
          <w:lang w:val="en-US" w:eastAsia="zh-CN"/>
        </w:rPr>
      </w:pPr>
    </w:p>
    <w:p w14:paraId="22DB51D2">
      <w:pPr>
        <w:keepNext w:val="0"/>
        <w:keepLines w:val="0"/>
        <w:pageBreakBefore w:val="0"/>
        <w:kinsoku/>
        <w:wordWrap/>
        <w:overflowPunct/>
        <w:topLinePunct w:val="0"/>
        <w:autoSpaceDE/>
        <w:autoSpaceDN/>
        <w:bidi w:val="0"/>
        <w:adjustRightInd/>
        <w:snapToGrid/>
        <w:spacing w:line="360" w:lineRule="auto"/>
        <w:ind w:left="360"/>
        <w:textAlignment w:val="auto"/>
        <w:rPr>
          <w:rStyle w:val="8"/>
          <w:rFonts w:hint="eastAsia" w:ascii="仿宋_GB2312" w:hAnsi="仿宋_GB2312" w:eastAsia="仿宋_GB2312" w:cs="仿宋_GB2312"/>
          <w:spacing w:val="8"/>
          <w:sz w:val="32"/>
          <w:szCs w:val="32"/>
        </w:rPr>
      </w:pPr>
      <w:r>
        <w:rPr>
          <w:rStyle w:val="8"/>
          <w:rFonts w:hint="eastAsia" w:ascii="仿宋_GB2312" w:hAnsi="仿宋_GB2312" w:eastAsia="仿宋_GB2312" w:cs="仿宋_GB2312"/>
          <w:spacing w:val="8"/>
          <w:sz w:val="32"/>
          <w:szCs w:val="32"/>
        </w:rPr>
        <w:t>一、前言 </w:t>
      </w:r>
    </w:p>
    <w:p w14:paraId="04862B4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肥胖是一种慢性代谢性疾病，近些年来，全球超重和肥胖率正快速增长，已成为威胁人类健康的严重问题。根据《中国居民营养与慢性病状况报告（2020 年）》显示，我国18岁及以上居民超重率、肥胖率分别为34.3%、16.4%，其中18～44 岁、45～59 岁和 60 岁及以上居民肥胖率分别为16.4%、18.3%和 13.6%，我国居民肥胖率呈上升趋势。肥胖不但导致较高的过早死亡风险，还与各种慢性非传染性疾病的发生相关，包括 2 型糖尿病、脑卒中、冠心病、高血压、呼吸系统疾病、骨关节炎和胆结石等。肥胖甚至还与多种肿瘤的发生相关。2019 年全国 11.98%的心血管疾病死亡归因于高体质指数（BMI），死亡人数为 54.95 万。肥胖的流行以其高昂的医疗费用为国民经济带来了沉重的负担。有研究预测，到2030 年我国成年人超重肥胖率可达65.3%，归因于超重肥胖的医疗费用可能为 4180 亿元人民币，约占全国医疗费用总额的 21.5%，未来中国城乡居民超重肥胖率及其所造成的经济负担将呈上升趋势。因此，肥胖防控已刻不容缓。</w:t>
      </w:r>
    </w:p>
    <w:p w14:paraId="2A8733C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肥胖的发生虽然受遗传、环境和社会文化等因素共同影 响，但根本原因是机体的能量摄入大于能量消耗，从而导致 多余的能量以脂肪的形式在体内贮存。膳食营养和身体活动是肥胖防治的两大重要影响因素。减肥关键三分靠动，七分 靠吃。以“辨证施膳”为核心的中医食养是在中医辨证施治 2 指导下的非药物调养方法，强调根据体质、病因、病机、证 候，给予不同食养方案，具有调和气血、平衡人体阴阳、辅 助疾病防治的作用。针对肥胖患者的不同体质，选取不同特 性的食物或食药物质，有助于达到减重效果，维持健康体重。</w:t>
      </w:r>
    </w:p>
    <w:p w14:paraId="10B2AC2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为预防和控制我国人群肥胖的发生发展，改善肥胖患者的体重，调整日常膳食结构，提高居民营养健康水平，发展传统食养服务，根据《健康中国行动（2019—2030年）》和《国民营养计划（2017—2030 年）》相关要求，制定本指南。本指南以食养为基础，依据现代营养学理论和相关证据，以及我国传统医学的理论和调养方案，提出具有多学科优势互补的成人肥胖患者食养基本原则和食谱示例。</w:t>
      </w:r>
    </w:p>
    <w:p w14:paraId="42978439">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疾病特点与分型</w:t>
      </w:r>
    </w:p>
    <w:p w14:paraId="2041321F">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（一）肥胖定义与判定。</w:t>
      </w:r>
    </w:p>
    <w:p w14:paraId="5FACEBA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肥胖是人体脂肪积聚过多达到危害健康程度的一种慢性代谢性疾病，是因能量摄入超过能量消耗或机体代谢改变而导致体重过度增长的一种状态。根据肥胖病因及发病机制分为单纯性肥胖和继发性肥胖。</w:t>
      </w:r>
    </w:p>
    <w:p w14:paraId="619699E9">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无明显内分泌、代谢病病因可寻者为单纯性肥胖；继发于神经-内分泌-代谢紊乱基础上的肥胖症为继发性肥胖。体质指数（BMI）和腰围（WC）是常用判断超重和肥胖程度的指标。</w:t>
      </w:r>
    </w:p>
    <w:p w14:paraId="6C7D7541">
      <w:pPr>
        <w:keepNext w:val="0"/>
        <w:keepLines w:val="0"/>
        <w:pageBreakBefore w:val="0"/>
        <w:kinsoku/>
        <w:wordWrap/>
        <w:overflowPunct/>
        <w:topLinePunct w:val="0"/>
        <w:autoSpaceDE/>
        <w:autoSpaceDN/>
        <w:bidi w:val="0"/>
        <w:adjustRightInd/>
        <w:snapToGrid/>
        <w:spacing w:line="360" w:lineRule="auto"/>
        <w:ind w:firstLine="675" w:firstLineChars="200"/>
        <w:jc w:val="center"/>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成人肥胖判定标准</w:t>
      </w:r>
    </w:p>
    <w:p w14:paraId="3B70CD27">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b w:val="0"/>
          <w:bCs w:val="0"/>
          <w:spacing w:val="8"/>
          <w:sz w:val="24"/>
          <w:szCs w:val="24"/>
          <w:shd w:val="clear" w:color="auto" w:fill="FFFFFF"/>
          <w:lang w:val="en-US" w:eastAsia="zh-CN"/>
        </w:rPr>
      </w:pPr>
      <w:r>
        <w:rPr>
          <w:rFonts w:hint="eastAsia" w:ascii="仿宋_GB2312" w:hAnsi="仿宋_GB2312" w:eastAsia="仿宋_GB2312" w:cs="仿宋_GB2312"/>
          <w:b w:val="0"/>
          <w:bCs w:val="0"/>
          <w:spacing w:val="8"/>
          <w:sz w:val="24"/>
          <w:szCs w:val="24"/>
          <w:shd w:val="clear" w:color="auto" w:fill="FFFFFF"/>
          <w:lang w:eastAsia="zh-CN"/>
        </w:rPr>
        <w:t>成人肥胖及中心型肥胖分别以</w:t>
      </w:r>
      <w:r>
        <w:rPr>
          <w:rFonts w:hint="eastAsia" w:ascii="仿宋_GB2312" w:hAnsi="仿宋_GB2312" w:eastAsia="仿宋_GB2312" w:cs="仿宋_GB2312"/>
          <w:b w:val="0"/>
          <w:bCs w:val="0"/>
          <w:spacing w:val="8"/>
          <w:sz w:val="24"/>
          <w:szCs w:val="24"/>
          <w:shd w:val="clear" w:color="auto" w:fill="FFFFFF"/>
          <w:lang w:val="en-US" w:eastAsia="zh-CN"/>
        </w:rPr>
        <w:t>BMI和腰围进行判定，详见表5.1</w:t>
      </w:r>
      <w:r>
        <w:rPr>
          <w:rFonts w:hint="eastAsia" w:ascii="仿宋_GB2312" w:hAnsi="仿宋_GB2312" w:eastAsia="仿宋_GB2312" w:cs="仿宋_GB2312"/>
          <w:spacing w:val="8"/>
          <w:sz w:val="24"/>
          <w:szCs w:val="24"/>
          <w:shd w:val="clear" w:color="auto" w:fill="FFFFFF"/>
        </w:rPr>
        <w:t>～</w:t>
      </w:r>
      <w:r>
        <w:rPr>
          <w:rFonts w:hint="eastAsia" w:ascii="仿宋_GB2312" w:hAnsi="仿宋_GB2312" w:eastAsia="仿宋_GB2312" w:cs="仿宋_GB2312"/>
          <w:b w:val="0"/>
          <w:bCs w:val="0"/>
          <w:spacing w:val="8"/>
          <w:sz w:val="24"/>
          <w:szCs w:val="24"/>
          <w:shd w:val="clear" w:color="auto" w:fill="FFFFFF"/>
          <w:lang w:val="en-US" w:eastAsia="zh-CN"/>
        </w:rPr>
        <w:t>5.2</w:t>
      </w:r>
    </w:p>
    <w:p w14:paraId="5EC233FB">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spacing w:val="8"/>
          <w:sz w:val="24"/>
          <w:szCs w:val="24"/>
          <w:shd w:val="clear" w:color="auto" w:fill="FFFFFF"/>
          <w:lang w:val="en-US" w:eastAsia="zh-CN"/>
        </w:rPr>
      </w:pPr>
      <w:r>
        <w:rPr>
          <w:rFonts w:hint="eastAsia" w:ascii="仿宋_GB2312" w:hAnsi="仿宋_GB2312" w:eastAsia="仿宋_GB2312" w:cs="仿宋_GB2312"/>
          <w:spacing w:val="8"/>
          <w:sz w:val="24"/>
          <w:szCs w:val="24"/>
          <w:shd w:val="clear" w:color="auto" w:fill="FFFFFF"/>
          <w:lang w:val="en-US" w:eastAsia="zh-CN"/>
        </w:rPr>
        <w:t>表 5.1成人体重分类</w:t>
      </w:r>
    </w:p>
    <w:p w14:paraId="434A5958">
      <w:pPr>
        <w:keepNext w:val="0"/>
        <w:keepLines w:val="0"/>
        <w:pageBreakBefore w:val="0"/>
        <w:kinsoku/>
        <w:wordWrap/>
        <w:overflowPunct/>
        <w:topLinePunct w:val="0"/>
        <w:autoSpaceDE/>
        <w:autoSpaceDN/>
        <w:bidi w:val="0"/>
        <w:adjustRightInd/>
        <w:snapToGrid/>
        <w:spacing w:line="360" w:lineRule="auto"/>
        <w:ind w:firstLine="1476" w:firstLineChars="700"/>
        <w:textAlignment w:val="auto"/>
        <w:rPr>
          <w:rFonts w:hint="eastAsia" w:ascii="仿宋_GB2312" w:hAnsi="仿宋_GB2312" w:eastAsia="仿宋_GB2312" w:cs="仿宋_GB2312"/>
          <w:b/>
          <w:bCs/>
          <w:spacing w:val="8"/>
          <w:sz w:val="24"/>
          <w:szCs w:val="24"/>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255905</wp:posOffset>
                </wp:positionH>
                <wp:positionV relativeFrom="paragraph">
                  <wp:posOffset>288925</wp:posOffset>
                </wp:positionV>
                <wp:extent cx="5086350" cy="0"/>
                <wp:effectExtent l="0" t="6350" r="0" b="6350"/>
                <wp:wrapNone/>
                <wp:docPr id="1026" name="直接连接符 21"/>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1" o:spid="_x0000_s1026" o:spt="20" style="position:absolute;left:0pt;margin-left:20.15pt;margin-top:22.75pt;height:0pt;width:400.5pt;z-index:251659264;mso-width-relative:page;mso-height-relative:page;" filled="f" stroked="t" coordsize="21600,21600" o:gfxdata="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I7G8NcAAAAIAQAADwAAAAAAAAABACAA&#10;AAAiAAAAZHJzL2Rvd25yZXYueG1sUEsBAhQAFAAAAAgAh07iQFqeJcHVAQAAkwMAAA4AAAAAAAAA&#10;AQAgAAAAJgEAAGRycy9lMm9Eb2MueG1sUEsFBgAAAAAGAAYAWQEAAG0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284480</wp:posOffset>
                </wp:positionH>
                <wp:positionV relativeFrom="paragraph">
                  <wp:posOffset>31750</wp:posOffset>
                </wp:positionV>
                <wp:extent cx="5086350" cy="0"/>
                <wp:effectExtent l="0" t="6350" r="0" b="6350"/>
                <wp:wrapNone/>
                <wp:docPr id="1027" name="直接连接符 18"/>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18" o:spid="_x0000_s1026" o:spt="20" style="position:absolute;left:0pt;margin-left:22.4pt;margin-top:2.5pt;height:0pt;width:400.5pt;z-index:251659264;mso-width-relative:page;mso-height-relative:page;" filled="f" stroked="t" coordsize="21600,21600" o:gfxdata="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GtDL9UAAAAGAQAADwAAAAAAAAABACAAAAAi&#10;AAAAZHJzL2Rvd25yZXYueG1sUEsBAhQAFAAAAAgAh07iQJ/pTw/UAQAAkwMAAA4AAAAAAAAAAQAg&#10;AAAAJAEAAGRycy9lMm9Eb2MueG1sUEsFBgAAAAAGAAYAWQEAAGo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4"/>
          <w:szCs w:val="24"/>
          <w:shd w:val="clear" w:color="auto" w:fill="FFFFFF"/>
          <w:lang w:val="en-US" w:eastAsia="zh-CN"/>
        </w:rPr>
        <w:t>分类                   BMI 值/(kg/m2)</w:t>
      </w:r>
      <w:r>
        <w:rPr>
          <w:rFonts w:hint="eastAsia" w:ascii="仿宋_GB2312" w:hAnsi="仿宋_GB2312" w:eastAsia="仿宋_GB2312" w:cs="仿宋_GB2312"/>
          <w:b/>
          <w:bCs/>
          <w:spacing w:val="8"/>
          <w:sz w:val="24"/>
          <w:szCs w:val="24"/>
          <w:shd w:val="clear" w:color="auto" w:fill="FFFFFF"/>
          <w:lang w:val="en-US" w:eastAsia="zh-CN"/>
        </w:rPr>
        <w:tab/>
      </w:r>
    </w:p>
    <w:p w14:paraId="37EFA42E">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肥胖                    BMI&gt;28.0</w:t>
      </w:r>
      <w:r>
        <w:rPr>
          <w:rFonts w:hint="eastAsia" w:ascii="仿宋_GB2312" w:hAnsi="仿宋_GB2312" w:eastAsia="仿宋_GB2312" w:cs="仿宋_GB2312"/>
          <w:spacing w:val="8"/>
          <w:sz w:val="21"/>
          <w:szCs w:val="21"/>
          <w:shd w:val="clear" w:color="auto" w:fill="FFFFFF"/>
          <w:lang w:val="en-US" w:eastAsia="zh-CN"/>
        </w:rPr>
        <w:tab/>
      </w:r>
    </w:p>
    <w:p w14:paraId="6CF6A371">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超重</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24.0&lt;BMI&lt;28.0</w:t>
      </w:r>
      <w:r>
        <w:rPr>
          <w:rFonts w:hint="eastAsia" w:ascii="仿宋_GB2312" w:hAnsi="仿宋_GB2312" w:eastAsia="仿宋_GB2312" w:cs="仿宋_GB2312"/>
          <w:spacing w:val="8"/>
          <w:sz w:val="21"/>
          <w:szCs w:val="21"/>
          <w:shd w:val="clear" w:color="auto" w:fill="FFFFFF"/>
          <w:lang w:val="en-US" w:eastAsia="zh-CN"/>
        </w:rPr>
        <w:tab/>
      </w:r>
    </w:p>
    <w:p w14:paraId="1A3B8417">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体重正常</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18.5&lt;BMI&lt;24.0</w:t>
      </w:r>
      <w:r>
        <w:rPr>
          <w:rFonts w:hint="eastAsia" w:ascii="仿宋_GB2312" w:hAnsi="仿宋_GB2312" w:eastAsia="仿宋_GB2312" w:cs="仿宋_GB2312"/>
          <w:spacing w:val="8"/>
          <w:sz w:val="21"/>
          <w:szCs w:val="21"/>
          <w:shd w:val="clear" w:color="auto" w:fill="FFFFFF"/>
          <w:lang w:val="en-US" w:eastAsia="zh-CN"/>
        </w:rPr>
        <w:tab/>
      </w:r>
    </w:p>
    <w:p w14:paraId="59AC608F">
      <w:pPr>
        <w:keepNext w:val="0"/>
        <w:keepLines w:val="0"/>
        <w:pageBreakBefore w:val="0"/>
        <w:kinsoku/>
        <w:wordWrap/>
        <w:overflowPunct/>
        <w:topLinePunct w:val="0"/>
        <w:autoSpaceDE/>
        <w:autoSpaceDN/>
        <w:bidi w:val="0"/>
        <w:adjustRightInd/>
        <w:snapToGrid/>
        <w:spacing w:line="360" w:lineRule="auto"/>
        <w:ind w:firstLine="1476"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313055</wp:posOffset>
                </wp:positionH>
                <wp:positionV relativeFrom="paragraph">
                  <wp:posOffset>243205</wp:posOffset>
                </wp:positionV>
                <wp:extent cx="5086350" cy="0"/>
                <wp:effectExtent l="0" t="6350" r="0" b="6350"/>
                <wp:wrapNone/>
                <wp:docPr id="1028" name="直接连接符 24"/>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4" o:spid="_x0000_s1026" o:spt="20" style="position:absolute;left:0pt;margin-left:24.65pt;margin-top:19.15pt;height:0pt;width:400.5pt;z-index:251659264;mso-width-relative:page;mso-height-relative:page;" filled="f" stroked="t" coordsize="21600,21600" o:gfxdata="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ivvOC1wAAAAgBAAAPAAAAAAAAAAEAIAAA&#10;ACIAAABkcnMvZG93bnJldi54bWxQSwECFAAUAAAACACHTuJAm3aP8dQBAACTAwAADgAAAAAAAAAB&#10;ACAAAAAmAQAAZHJzL2Uyb0RvYy54bWxQSwUGAAAAAAYABgBZAQAAbAU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1"/>
          <w:szCs w:val="21"/>
          <w:shd w:val="clear" w:color="auto" w:fill="FFFFFF"/>
          <w:lang w:val="en-US" w:eastAsia="zh-CN"/>
        </w:rPr>
        <w:t xml:space="preserve">体重过低            </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BMI&lt;18.5</w:t>
      </w:r>
      <w:r>
        <w:rPr>
          <w:rFonts w:hint="eastAsia" w:ascii="仿宋_GB2312" w:hAnsi="仿宋_GB2312" w:eastAsia="仿宋_GB2312" w:cs="仿宋_GB2312"/>
          <w:spacing w:val="8"/>
          <w:sz w:val="21"/>
          <w:szCs w:val="21"/>
          <w:shd w:val="clear" w:color="auto" w:fill="FFFFFF"/>
          <w:lang w:val="en-US" w:eastAsia="zh-CN"/>
        </w:rPr>
        <w:tab/>
      </w:r>
    </w:p>
    <w:p w14:paraId="2CC51E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pacing w:val="8"/>
          <w:sz w:val="24"/>
          <w:szCs w:val="24"/>
          <w:shd w:val="clear" w:color="auto" w:fill="FFFFFF"/>
          <w:lang w:val="en-US" w:eastAsia="zh-CN"/>
        </w:rPr>
      </w:pPr>
      <w:r>
        <w:rPr>
          <w:rFonts w:hint="eastAsia" w:ascii="仿宋_GB2312" w:hAnsi="仿宋_GB2312" w:eastAsia="仿宋_GB2312" w:cs="仿宋_GB2312"/>
          <w:spacing w:val="8"/>
          <w:sz w:val="24"/>
          <w:szCs w:val="24"/>
          <w:shd w:val="clear" w:color="auto" w:fill="FFFFFF"/>
          <w:lang w:val="en-US" w:eastAsia="zh-CN"/>
        </w:rPr>
        <w:t>表 5.2成人中心型肥胖分类</w:t>
      </w:r>
    </w:p>
    <w:p w14:paraId="278FBBDF">
      <w:pPr>
        <w:keepNext w:val="0"/>
        <w:keepLines w:val="0"/>
        <w:pageBreakBefore w:val="0"/>
        <w:kinsoku/>
        <w:wordWrap/>
        <w:overflowPunct/>
        <w:topLinePunct w:val="0"/>
        <w:autoSpaceDE/>
        <w:autoSpaceDN/>
        <w:bidi w:val="0"/>
        <w:adjustRightInd/>
        <w:snapToGrid/>
        <w:spacing w:line="360" w:lineRule="auto"/>
        <w:ind w:firstLine="2108" w:firstLineChars="1000"/>
        <w:textAlignment w:val="auto"/>
        <w:rPr>
          <w:rFonts w:hint="eastAsia" w:ascii="仿宋_GB2312" w:hAnsi="仿宋_GB2312" w:eastAsia="仿宋_GB2312" w:cs="仿宋_GB2312"/>
          <w:b/>
          <w:bCs/>
          <w:spacing w:val="8"/>
          <w:sz w:val="24"/>
          <w:szCs w:val="24"/>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341630</wp:posOffset>
                </wp:positionH>
                <wp:positionV relativeFrom="paragraph">
                  <wp:posOffset>48895</wp:posOffset>
                </wp:positionV>
                <wp:extent cx="5086350" cy="0"/>
                <wp:effectExtent l="0" t="6350" r="0" b="6350"/>
                <wp:wrapNone/>
                <wp:docPr id="1029" name="直接连接符 22"/>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2" o:spid="_x0000_s1026" o:spt="20" style="position:absolute;left:0pt;margin-left:26.9pt;margin-top:3.85pt;height:0pt;width:400.5pt;z-index:251659264;mso-width-relative:page;mso-height-relative:page;" filled="f" stroked="t" coordsize="21600,21600" o:gfxdata="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UxxFtUAAAAGAQAADwAAAAAAAAABACAAAAAi&#10;AAAAZHJzL2Rvd25yZXYueG1sUEsBAhQAFAAAAAgAh07iQMp5PFnUAQAAkwMAAA4AAAAAAAAAAQAg&#10;AAAAJAEAAGRycy9lMm9Eb2MueG1sUEsFBgAAAAAGAAYAWQEAAGo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351155</wp:posOffset>
                </wp:positionH>
                <wp:positionV relativeFrom="paragraph">
                  <wp:posOffset>277495</wp:posOffset>
                </wp:positionV>
                <wp:extent cx="5086350" cy="0"/>
                <wp:effectExtent l="0" t="6350" r="0" b="6350"/>
                <wp:wrapNone/>
                <wp:docPr id="1030" name="直接连接符 23"/>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3" o:spid="_x0000_s1026" o:spt="20" style="position:absolute;left:0pt;margin-left:27.65pt;margin-top:21.85pt;height:0pt;width:400.5pt;z-index:251659264;mso-width-relative:page;mso-height-relative:page;" filled="f" stroked="t" coordsize="21600,21600" o:gfxdata="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M9pkd1wAAAAgBAAAPAAAAAAAAAAEAIAAA&#10;ACIAAABkcnMvZG93bnJldi54bWxQSwECFAAUAAAACACHTuJAM7rrxtQBAACTAwAADgAAAAAAAAAB&#10;ACAAAAAmAQAAZHJzL2Uyb0RvYy54bWxQSwUGAAAAAAYABgBZAQAAbAU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4"/>
          <w:szCs w:val="24"/>
          <w:shd w:val="clear" w:color="auto" w:fill="FFFFFF"/>
          <w:lang w:val="en-US" w:eastAsia="zh-CN"/>
        </w:rPr>
        <w:t>分类                腰围值/cm</w:t>
      </w:r>
      <w:r>
        <w:rPr>
          <w:rFonts w:hint="eastAsia" w:ascii="仿宋_GB2312" w:hAnsi="仿宋_GB2312" w:eastAsia="仿宋_GB2312" w:cs="仿宋_GB2312"/>
          <w:b/>
          <w:bCs/>
          <w:spacing w:val="8"/>
          <w:sz w:val="24"/>
          <w:szCs w:val="24"/>
          <w:shd w:val="clear" w:color="auto" w:fill="FFFFFF"/>
          <w:lang w:val="en-US" w:eastAsia="zh-CN"/>
        </w:rPr>
        <w:tab/>
      </w:r>
    </w:p>
    <w:p w14:paraId="71CC37C4">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中心型肥胖前期</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85&lt;男性腰围&lt;90</w:t>
      </w:r>
      <w:r>
        <w:rPr>
          <w:rFonts w:hint="eastAsia" w:ascii="仿宋_GB2312" w:hAnsi="仿宋_GB2312" w:eastAsia="仿宋_GB2312" w:cs="仿宋_GB2312"/>
          <w:spacing w:val="8"/>
          <w:sz w:val="21"/>
          <w:szCs w:val="21"/>
          <w:shd w:val="clear" w:color="auto" w:fill="FFFFFF"/>
          <w:lang w:val="en-US" w:eastAsia="zh-CN"/>
        </w:rPr>
        <w:tab/>
      </w:r>
    </w:p>
    <w:p w14:paraId="1E7C9228">
      <w:pPr>
        <w:keepNext w:val="0"/>
        <w:keepLines w:val="0"/>
        <w:pageBreakBefore w:val="0"/>
        <w:kinsoku/>
        <w:wordWrap/>
        <w:overflowPunct/>
        <w:topLinePunct w:val="0"/>
        <w:autoSpaceDE/>
        <w:autoSpaceDN/>
        <w:bidi w:val="0"/>
        <w:adjustRightInd/>
        <w:snapToGrid/>
        <w:spacing w:line="360" w:lineRule="auto"/>
        <w:ind w:firstLine="4520" w:firstLineChars="2000"/>
        <w:jc w:val="both"/>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80≤女性腰围&lt;85</w:t>
      </w:r>
    </w:p>
    <w:p w14:paraId="6FB3DD89">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中心型肥胖               男性腰围&gt;90</w:t>
      </w:r>
    </w:p>
    <w:p w14:paraId="117F91B8">
      <w:pPr>
        <w:keepNext w:val="0"/>
        <w:keepLines w:val="0"/>
        <w:pageBreakBefore w:val="0"/>
        <w:kinsoku/>
        <w:wordWrap/>
        <w:overflowPunct/>
        <w:topLinePunct w:val="0"/>
        <w:autoSpaceDE/>
        <w:autoSpaceDN/>
        <w:bidi w:val="0"/>
        <w:adjustRightInd/>
        <w:snapToGrid/>
        <w:spacing w:line="360" w:lineRule="auto"/>
        <w:ind w:firstLine="4427" w:firstLineChars="21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274955</wp:posOffset>
                </wp:positionH>
                <wp:positionV relativeFrom="paragraph">
                  <wp:posOffset>241300</wp:posOffset>
                </wp:positionV>
                <wp:extent cx="5086350" cy="0"/>
                <wp:effectExtent l="0" t="6350" r="0" b="6350"/>
                <wp:wrapNone/>
                <wp:docPr id="1031" name="直接连接符 20"/>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0" o:spid="_x0000_s1026" o:spt="20" style="position:absolute;left:0pt;margin-left:21.65pt;margin-top:19pt;height:0pt;width:400.5pt;z-index:251659264;mso-width-relative:page;mso-height-relative:page;" filled="f" stroked="t" coordsize="21600,21600" o:gfxdata="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tpLqDWAAAACAEAAA8AAAAAAAAAAQAgAAAA&#10;IgAAAGRycy9kb3ducmV2LnhtbFBLAQIUABQAAAAIAIdO4kBPpN411AEAAJMDAAAOAAAAAAAAAAEA&#10;IAAAACUBAABkcnMvZTJvRG9jLnhtbFBLBQYAAAAABgAGAFkBAABrBQ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1"/>
          <w:szCs w:val="21"/>
          <w:shd w:val="clear" w:color="auto" w:fill="FFFFFF"/>
          <w:lang w:val="en-US" w:eastAsia="zh-CN"/>
        </w:rPr>
        <w:t>女性腰围&gt;85</w:t>
      </w:r>
      <w:r>
        <w:rPr>
          <w:rFonts w:hint="eastAsia" w:ascii="仿宋_GB2312" w:hAnsi="仿宋_GB2312" w:eastAsia="仿宋_GB2312" w:cs="仿宋_GB2312"/>
          <w:spacing w:val="8"/>
          <w:sz w:val="21"/>
          <w:szCs w:val="21"/>
          <w:shd w:val="clear" w:color="auto" w:fill="FFFFFF"/>
          <w:lang w:val="en-US" w:eastAsia="zh-CN"/>
        </w:rPr>
        <w:tab/>
      </w:r>
    </w:p>
    <w:p w14:paraId="20332096">
      <w:pPr>
        <w:keepNext w:val="0"/>
        <w:keepLines w:val="0"/>
        <w:pageBreakBefore w:val="0"/>
        <w:kinsoku/>
        <w:wordWrap/>
        <w:overflowPunct/>
        <w:topLinePunct w:val="0"/>
        <w:autoSpaceDE/>
        <w:autoSpaceDN/>
        <w:bidi w:val="0"/>
        <w:adjustRightInd/>
        <w:snapToGrid/>
        <w:spacing w:line="240" w:lineRule="auto"/>
        <w:ind w:firstLine="678" w:firstLineChars="3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b w:val="0"/>
          <w:bCs w:val="0"/>
          <w:spacing w:val="8"/>
          <w:sz w:val="21"/>
          <w:szCs w:val="21"/>
          <w:shd w:val="clear" w:color="auto" w:fill="FFFFFF"/>
        </w:rPr>
        <w:t>注:</w:t>
      </w:r>
      <w:r>
        <w:rPr>
          <w:rFonts w:hint="eastAsia" w:ascii="仿宋_GB2312" w:hAnsi="仿宋_GB2312" w:eastAsia="仿宋_GB2312" w:cs="仿宋_GB2312"/>
          <w:b w:val="0"/>
          <w:bCs w:val="0"/>
          <w:spacing w:val="8"/>
          <w:sz w:val="21"/>
          <w:szCs w:val="21"/>
          <w:shd w:val="clear" w:color="auto" w:fill="FFFFFF"/>
          <w:lang w:val="en-US" w:eastAsia="zh-CN"/>
        </w:rPr>
        <w:t xml:space="preserve"> </w:t>
      </w:r>
      <w:r>
        <w:rPr>
          <w:rFonts w:hint="eastAsia" w:ascii="仿宋_GB2312" w:hAnsi="仿宋_GB2312" w:eastAsia="仿宋_GB2312" w:cs="仿宋_GB2312"/>
          <w:b w:val="0"/>
          <w:bCs w:val="0"/>
          <w:spacing w:val="8"/>
          <w:sz w:val="21"/>
          <w:szCs w:val="21"/>
          <w:shd w:val="clear" w:color="auto" w:fill="FFFFFF"/>
        </w:rPr>
        <w:t>1.引自:《</w:t>
      </w:r>
      <w:r>
        <w:rPr>
          <w:rFonts w:hint="eastAsia" w:ascii="仿宋_GB2312" w:hAnsi="仿宋_GB2312" w:eastAsia="仿宋_GB2312" w:cs="仿宋_GB2312"/>
          <w:spacing w:val="8"/>
          <w:sz w:val="21"/>
          <w:szCs w:val="21"/>
          <w:shd w:val="clear" w:color="auto" w:fill="FFFFFF"/>
        </w:rPr>
        <w:t>成人体重判定》(WS/T 428-2013)</w:t>
      </w:r>
    </w:p>
    <w:p w14:paraId="6659C99B">
      <w:pPr>
        <w:keepNext w:val="0"/>
        <w:keepLines w:val="0"/>
        <w:pageBreakBefore w:val="0"/>
        <w:kinsoku/>
        <w:wordWrap/>
        <w:overflowPunct/>
        <w:topLinePunct w:val="0"/>
        <w:autoSpaceDE/>
        <w:autoSpaceDN/>
        <w:bidi w:val="0"/>
        <w:adjustRightInd/>
        <w:snapToGrid/>
        <w:spacing w:line="240" w:lineRule="auto"/>
        <w:ind w:firstLine="1130" w:firstLineChars="5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spacing w:val="8"/>
          <w:sz w:val="21"/>
          <w:szCs w:val="21"/>
          <w:shd w:val="clear" w:color="auto" w:fill="FFFFFF"/>
        </w:rPr>
        <w:t>2.BMI的计算公式:BMI=体重(kg)</w:t>
      </w:r>
      <w:r>
        <w:rPr>
          <w:rFonts w:hint="eastAsia" w:ascii="仿宋_GB2312" w:hAnsi="仿宋_GB2312" w:eastAsia="仿宋_GB2312" w:cs="仿宋_GB2312"/>
          <w:spacing w:val="8"/>
          <w:sz w:val="21"/>
          <w:szCs w:val="21"/>
          <w:shd w:val="clear" w:color="auto" w:fill="FFFFFF"/>
        </w:rPr>
        <w:tab/>
      </w:r>
      <w:r>
        <w:rPr>
          <w:rFonts w:hint="eastAsia" w:ascii="仿宋_GB2312" w:hAnsi="仿宋_GB2312" w:eastAsia="仿宋_GB2312" w:cs="仿宋_GB2312"/>
          <w:spacing w:val="8"/>
          <w:sz w:val="21"/>
          <w:szCs w:val="21"/>
          <w:shd w:val="clear" w:color="auto" w:fill="FFFFFF"/>
        </w:rPr>
        <w:t>[身高(m)</w:t>
      </w:r>
      <w:r>
        <w:rPr>
          <w:rFonts w:hint="eastAsia" w:ascii="仿宋_GB2312" w:hAnsi="仿宋_GB2312" w:eastAsia="仿宋_GB2312" w:cs="仿宋_GB2312"/>
          <w:spacing w:val="8"/>
          <w:sz w:val="21"/>
          <w:szCs w:val="21"/>
          <w:shd w:val="clear" w:color="auto" w:fill="FFFFFF"/>
        </w:rPr>
        <w:tab/>
      </w:r>
    </w:p>
    <w:p w14:paraId="75C6F1D1">
      <w:pPr>
        <w:keepNext w:val="0"/>
        <w:keepLines w:val="0"/>
        <w:pageBreakBefore w:val="0"/>
        <w:kinsoku/>
        <w:wordWrap/>
        <w:overflowPunct/>
        <w:topLinePunct w:val="0"/>
        <w:autoSpaceDE/>
        <w:autoSpaceDN/>
        <w:bidi w:val="0"/>
        <w:adjustRightInd/>
        <w:snapToGrid/>
        <w:spacing w:line="240" w:lineRule="auto"/>
        <w:ind w:firstLine="1130" w:firstLineChars="5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spacing w:val="8"/>
          <w:sz w:val="21"/>
          <w:szCs w:val="21"/>
          <w:shd w:val="clear" w:color="auto" w:fill="FFFFFF"/>
        </w:rPr>
        <w:t>3.腰围:腋中线肋弓下缘和髂嵴连线中点的水平位置处体围的周径长度</w:t>
      </w:r>
    </w:p>
    <w:p w14:paraId="70B9F765">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（二）中医对肥胖的认识及分型。 </w:t>
      </w:r>
    </w:p>
    <w:p w14:paraId="41818CB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中医学将肥胖归属于“脂人”“膏人”“肥人”等范畴，中医认为，肥胖属本虚标实证，辨证涉及痰、湿、热等病理因素，常兼夹痰湿、血瘀、气郁等标实之证，其病位多在脾胃，与肾气虚关系密切，并可涉及五脏。常见辨证分型及临床表现如下：</w:t>
      </w:r>
    </w:p>
    <w:p w14:paraId="2F8FA114">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胃热火郁证：肥胖多食，消谷善饥，大便不爽，甚或干结，尿黄，或有口干口苦，喜饮水，舌质红，苔黄，脉数。 </w:t>
      </w:r>
    </w:p>
    <w:p w14:paraId="2D420D45">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痰湿内盛证：形体肥胖，身体沉重，肢体困倦，脘痞胸 满，可伴头晕，口干而不欲饮，大便黏滞不爽，嗜食肥甘醇酒，喜卧懒动，舌质淡胖或大，苔白腻或白滑，脉滑。 </w:t>
      </w:r>
    </w:p>
    <w:p w14:paraId="7F53C62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气郁血瘀证：肥胖懒动，喜太息，胸闷胁满，面晦唇暗， 肢端色泽不鲜，甚或青紫，可伴便干，失眠，男子性欲下降甚至阳痿，女子月经不调、量少甚或闭经，经血色暗或有血 块，舌质暗或有瘀斑瘀点，舌苔薄，脉弦或涩。 </w:t>
      </w:r>
    </w:p>
    <w:p w14:paraId="1A3D1234">
      <w:pPr>
        <w:keepNext w:val="0"/>
        <w:keepLines w:val="0"/>
        <w:pageBreakBefore w:val="0"/>
        <w:kinsoku/>
        <w:wordWrap/>
        <w:overflowPunct/>
        <w:topLinePunct w:val="0"/>
        <w:autoSpaceDE/>
        <w:autoSpaceDN/>
        <w:bidi w:val="0"/>
        <w:adjustRightInd/>
        <w:snapToGrid/>
        <w:spacing w:line="360" w:lineRule="auto"/>
        <w:ind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脾虚不运证：肥胖臃肿，神疲乏力，身体困重，脘腹痞闷，或有四肢轻度浮肿，晨轻暮重，劳则尤甚，饮食如常或偏少，既往多有暴饮暴食史，小便不利，大便溏或便秘，舌质淡胖，边有齿印，苔薄白或白腻，脉濡细。</w:t>
      </w:r>
    </w:p>
    <w:p w14:paraId="3B0A56BD">
      <w:pPr>
        <w:keepNext w:val="0"/>
        <w:keepLines w:val="0"/>
        <w:pageBreakBefore w:val="0"/>
        <w:kinsoku/>
        <w:wordWrap/>
        <w:overflowPunct/>
        <w:topLinePunct w:val="0"/>
        <w:autoSpaceDE/>
        <w:autoSpaceDN/>
        <w:bidi w:val="0"/>
        <w:adjustRightInd/>
        <w:snapToGrid/>
        <w:spacing w:line="360" w:lineRule="auto"/>
        <w:ind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脾肾阳虚证：形体肥胖，易于疲劳，四肢不温，甚或四肢厥冷，喜食热饮，小便清长，舌淡胖，舌苔薄白，脉沉细。</w:t>
      </w:r>
    </w:p>
    <w:p w14:paraId="3C13C9A7">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pacing w:val="8"/>
          <w:sz w:val="32"/>
          <w:szCs w:val="32"/>
          <w:shd w:val="clear" w:color="auto" w:fill="FFFFFF"/>
        </w:rPr>
      </w:pPr>
      <w:r>
        <w:rPr>
          <w:rFonts w:hint="eastAsia" w:ascii="仿宋_GB2312" w:hAnsi="仿宋_GB2312" w:eastAsia="仿宋_GB2312" w:cs="仿宋_GB2312"/>
          <w:b/>
          <w:bCs/>
          <w:spacing w:val="8"/>
          <w:sz w:val="32"/>
          <w:szCs w:val="32"/>
          <w:shd w:val="clear" w:color="auto" w:fill="FFFFFF"/>
        </w:rPr>
        <w:t>三、食养原则和建议 </w:t>
      </w:r>
    </w:p>
    <w:p w14:paraId="7B5C5BDE">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根据营养科学理论、中医理论和目前膳食相关肥胖科学 研究文献证据，在专家组共同讨论、建立共识的基础上，对 成人肥胖患者的日常食养提出 6 条原则和建议。</w:t>
      </w:r>
    </w:p>
    <w:p w14:paraId="088378C0">
      <w:pPr>
        <w:keepNext w:val="0"/>
        <w:keepLines w:val="0"/>
        <w:pageBreakBefore w:val="0"/>
        <w:kinsoku/>
        <w:wordWrap/>
        <w:overflowPunct/>
        <w:topLinePunct w:val="0"/>
        <w:autoSpaceDE/>
        <w:autoSpaceDN/>
        <w:bidi w:val="0"/>
        <w:adjustRightInd/>
        <w:snapToGrid/>
        <w:spacing w:line="360" w:lineRule="auto"/>
        <w:ind w:firstLine="1349" w:firstLineChars="400"/>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成人肥胖食养</w:t>
      </w:r>
      <w:r>
        <w:rPr>
          <w:rFonts w:hint="eastAsia" w:ascii="仿宋_GB2312" w:hAnsi="仿宋_GB2312" w:eastAsia="仿宋_GB2312" w:cs="仿宋_GB2312"/>
          <w:b/>
          <w:bCs/>
          <w:spacing w:val="8"/>
          <w:sz w:val="32"/>
          <w:szCs w:val="32"/>
          <w:shd w:val="clear" w:color="auto" w:fill="FFFFFF"/>
          <w:lang w:val="en-US" w:eastAsia="zh-CN"/>
        </w:rPr>
        <w:t>6条</w:t>
      </w:r>
      <w:r>
        <w:rPr>
          <w:rFonts w:hint="eastAsia" w:ascii="仿宋_GB2312" w:hAnsi="仿宋_GB2312" w:eastAsia="仿宋_GB2312" w:cs="仿宋_GB2312"/>
          <w:b/>
          <w:bCs/>
          <w:spacing w:val="8"/>
          <w:sz w:val="32"/>
          <w:szCs w:val="32"/>
          <w:shd w:val="clear" w:color="auto" w:fill="FFFFFF"/>
          <w:lang w:eastAsia="zh-CN"/>
        </w:rPr>
        <w:t>原则和建议</w:t>
      </w:r>
    </w:p>
    <w:p w14:paraId="341A7D17">
      <w:pPr>
        <w:keepNext w:val="0"/>
        <w:keepLines w:val="0"/>
        <w:pageBreakBefore w:val="0"/>
        <w:kinsoku/>
        <w:wordWrap/>
        <w:overflowPunct/>
        <w:topLinePunct w:val="0"/>
        <w:autoSpaceDE/>
        <w:autoSpaceDN/>
        <w:bidi w:val="0"/>
        <w:adjustRightInd/>
        <w:snapToGrid/>
        <w:spacing w:line="360" w:lineRule="auto"/>
        <w:ind w:firstLine="512" w:firstLineChars="200"/>
        <w:textAlignment w:val="auto"/>
        <w:rPr>
          <w:rFonts w:hint="eastAsia" w:ascii="仿宋_GB2312" w:hAnsi="仿宋_GB2312" w:eastAsia="仿宋_GB2312" w:cs="仿宋_GB2312"/>
          <w:spacing w:val="8"/>
          <w:sz w:val="24"/>
          <w:szCs w:val="24"/>
          <w:shd w:val="clear" w:color="auto" w:fill="FFFFFF"/>
          <w:lang w:eastAsia="zh-CN"/>
        </w:rPr>
      </w:pPr>
      <w:r>
        <w:rPr>
          <w:rFonts w:hint="eastAsia" w:ascii="仿宋_GB2312" w:hAnsi="仿宋_GB2312" w:eastAsia="仿宋_GB2312" w:cs="仿宋_GB2312"/>
          <w:spacing w:val="8"/>
          <w:sz w:val="24"/>
          <w:szCs w:val="24"/>
          <w:shd w:val="clear" w:color="auto" w:fill="FFFFFF"/>
          <w:lang w:eastAsia="zh-CN"/>
        </w:rPr>
        <w:drawing>
          <wp:inline distT="0" distB="0" distL="0" distR="0">
            <wp:extent cx="3905250" cy="2981960"/>
            <wp:effectExtent l="0" t="0" r="0" b="8890"/>
            <wp:docPr id="1032" name="图片 6" descr="1710988344711"/>
            <wp:cNvGraphicFramePr/>
            <a:graphic xmlns:a="http://schemas.openxmlformats.org/drawingml/2006/main">
              <a:graphicData uri="http://schemas.openxmlformats.org/drawingml/2006/picture">
                <pic:pic xmlns:pic="http://schemas.openxmlformats.org/drawingml/2006/picture">
                  <pic:nvPicPr>
                    <pic:cNvPr id="1032" name="图片 6" descr="1710988344711"/>
                    <pic:cNvPicPr/>
                  </pic:nvPicPr>
                  <pic:blipFill>
                    <a:blip r:embed="rId4" cstate="print"/>
                    <a:srcRect/>
                    <a:stretch>
                      <a:fillRect/>
                    </a:stretch>
                  </pic:blipFill>
                  <pic:spPr>
                    <a:xfrm>
                      <a:off x="0" y="0"/>
                      <a:ext cx="3905250" cy="2981960"/>
                    </a:xfrm>
                    <a:prstGeom prst="rect">
                      <a:avLst/>
                    </a:prstGeom>
                  </pic:spPr>
                </pic:pic>
              </a:graphicData>
            </a:graphic>
          </wp:inline>
        </w:drawing>
      </w:r>
    </w:p>
    <w:p w14:paraId="0389E980">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（一）控制总能量摄入，保持合理膳食。 </w:t>
      </w:r>
    </w:p>
    <w:p w14:paraId="579707F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控制总能量摄入和保持合理膳食是体重管理的关键。控 制总能量摄入，可基于不同人群每天的能量需要量（表1）， 推荐每日能量摄入平均降低 30%～50%或降低 500～1000kcal，或推荐每日能量摄入男性1200～1500kcal、女性 1000～ 1200kcal 的限能量平衡膳食等。临床上还可根据身高（cm）-105 计算出理想体重（kg），再乘以能量系数15～35kcal/kg（一般卧床者15kcal/kg、轻身体活动者 20～25kcal/kg、中身体活动者30kcal/kg、重身体活动者 35kcal/kg），计算成人个体化的6一日能量。以上方法可根据实际需要任选其一用来指导超重肥胖患者膳食，达到控制总能量摄入的目标。</w:t>
      </w:r>
    </w:p>
    <w:p w14:paraId="0CEE6B6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合理膳食应在控制总能量摄入的同时保障食物摄入多样化和平衡膳食，保证营养素的充足摄入，必要时补充复合营养素补充剂。三大宏量营养素的供能比分别为脂肪20%～ 30%，蛋白质15%～20%，碳水化合物50%～60%。一日三餐合理分配饮食，推荐早中晚三餐供能比为 3:4:3。鼓励主食以全谷物为主，至少占谷物的一半，适当增加粗粮并减少精白米面摄入；保障足量的新鲜蔬果摄入，蔬菜水果品种多样化，但要减少高糖水果及高淀粉含量蔬菜的摄入；动物性食物应优先选择脂肪含量低的食材，如瘦肉、去皮鸡胸肉、鱼虾等；应优先选择低脂或脱脂奶类。</w:t>
      </w:r>
    </w:p>
    <w:p w14:paraId="76C7F8B9">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b/>
          <w:bCs/>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表</w:t>
      </w:r>
      <w:r>
        <w:rPr>
          <w:rFonts w:hint="eastAsia" w:ascii="仿宋_GB2312" w:hAnsi="仿宋_GB2312" w:eastAsia="仿宋_GB2312" w:cs="仿宋_GB2312"/>
          <w:spacing w:val="8"/>
          <w:sz w:val="24"/>
          <w:szCs w:val="24"/>
          <w:shd w:val="clear" w:color="auto" w:fill="FFFFFF"/>
          <w:lang w:eastAsia="zh-CN"/>
        </w:rPr>
        <w:t>：</w:t>
      </w:r>
      <w:r>
        <w:rPr>
          <w:rFonts w:hint="eastAsia" w:ascii="仿宋_GB2312" w:hAnsi="仿宋_GB2312" w:eastAsia="仿宋_GB2312" w:cs="仿宋_GB2312"/>
          <w:spacing w:val="8"/>
          <w:sz w:val="24"/>
          <w:szCs w:val="24"/>
          <w:shd w:val="clear" w:color="auto" w:fill="FFFFFF"/>
        </w:rPr>
        <w:t>中国居民成人膳食能量需要量(单位:kcal/d)</w:t>
      </w:r>
    </w:p>
    <w:p w14:paraId="5D8DAE83">
      <w:pPr>
        <w:keepNext w:val="0"/>
        <w:keepLines w:val="0"/>
        <w:pageBreakBefore w:val="0"/>
        <w:kinsoku/>
        <w:wordWrap/>
        <w:overflowPunct/>
        <w:topLinePunct w:val="0"/>
        <w:autoSpaceDE/>
        <w:autoSpaceDN/>
        <w:bidi w:val="0"/>
        <w:adjustRightInd/>
        <w:snapToGrid/>
        <w:spacing w:line="360" w:lineRule="auto"/>
        <w:ind w:firstLine="422" w:firstLineChars="200"/>
        <w:jc w:val="center"/>
        <w:textAlignment w:val="auto"/>
        <w:rPr>
          <w:rFonts w:hint="eastAsia" w:ascii="仿宋_GB2312" w:hAnsi="仿宋_GB2312" w:eastAsia="仿宋_GB2312" w:cs="仿宋_GB2312"/>
          <w:b/>
          <w:bCs/>
          <w:spacing w:val="8"/>
          <w:sz w:val="24"/>
          <w:szCs w:val="24"/>
          <w:shd w:val="clear" w:color="auto" w:fill="FFFFFF"/>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-77470</wp:posOffset>
                </wp:positionH>
                <wp:positionV relativeFrom="paragraph">
                  <wp:posOffset>248920</wp:posOffset>
                </wp:positionV>
                <wp:extent cx="5286375" cy="0"/>
                <wp:effectExtent l="0" t="6350" r="0" b="6350"/>
                <wp:wrapNone/>
                <wp:docPr id="1033" name="直接连接符 27"/>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7" o:spid="_x0000_s1026" o:spt="20" style="position:absolute;left:0pt;margin-left:-6.1pt;margin-top:19.6pt;height:0pt;width:416.25pt;z-index:251659264;mso-width-relative:page;mso-height-relative:page;" filled="f" stroked="t" coordsize="21600,21600" o:gfxdata="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oXpV12AAAAAkBAAAPAAAAAAAAAAEA&#10;IAAAACIAAABkcnMvZG93bnJldi54bWxQSwECFAAUAAAACACHTuJAmOOWD9YBAACTAwAADgAAAAAA&#10;AAABACAAAAAnAQAAZHJzL2Uyb0RvYy54bWxQSwUGAAAAAAYABgBZAQAAbwU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-67945</wp:posOffset>
                </wp:positionH>
                <wp:positionV relativeFrom="paragraph">
                  <wp:posOffset>48895</wp:posOffset>
                </wp:positionV>
                <wp:extent cx="5286375" cy="0"/>
                <wp:effectExtent l="0" t="6350" r="0" b="6350"/>
                <wp:wrapNone/>
                <wp:docPr id="1034" name="直接连接符 26"/>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6" o:spid="_x0000_s1026" o:spt="20" style="position:absolute;left:0pt;margin-left:-5.35pt;margin-top:3.85pt;height:0pt;width:416.25pt;z-index:251659264;mso-width-relative:page;mso-height-relative:page;" filled="f" stroked="t" coordsize="21600,21600" o:gfxdata="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KUMSbWAAAABwEAAA8AAAAAAAAAAQAg&#10;AAAAIgAAAGRycy9kb3ducmV2LnhtbFBLAQIUABQAAAAIAIdO4kBnmn4o1wEAAJMDAAAOAAAAAAAA&#10;AAEAIAAAACUBAABkcnMvZTJvRG9jLnhtbFBLBQYAAAAABgAGAFkBAABuBQ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低强度身体活动水平</w: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中等强度身体活动水平</w: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高强度身体活动水</w:t>
      </w:r>
      <w:r>
        <w:rPr>
          <w:rFonts w:hint="eastAsia" w:ascii="仿宋_GB2312" w:hAnsi="仿宋_GB2312" w:eastAsia="仿宋_GB2312" w:cs="仿宋_GB2312"/>
          <w:b/>
          <w:bCs/>
          <w:spacing w:val="8"/>
          <w:sz w:val="24"/>
          <w:szCs w:val="24"/>
          <w:shd w:val="clear" w:color="auto" w:fill="FFFFFF"/>
        </w:rPr>
        <w:tab/>
      </w:r>
    </w:p>
    <w:p w14:paraId="706D7331">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成年男性</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1950~2150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2400~2550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2800~3000</w:t>
      </w:r>
      <w:r>
        <w:rPr>
          <w:rFonts w:hint="eastAsia" w:ascii="仿宋_GB2312" w:hAnsi="仿宋_GB2312" w:eastAsia="仿宋_GB2312" w:cs="仿宋_GB2312"/>
          <w:spacing w:val="8"/>
          <w:sz w:val="24"/>
          <w:szCs w:val="24"/>
          <w:shd w:val="clear" w:color="auto" w:fill="FFFFFF"/>
        </w:rPr>
        <w:tab/>
      </w:r>
    </w:p>
    <w:p w14:paraId="76955C14">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成年女性</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1600~1700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1950~2100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2300~2450</w:t>
      </w:r>
      <w:r>
        <w:rPr>
          <w:rFonts w:hint="eastAsia" w:ascii="仿宋_GB2312" w:hAnsi="仿宋_GB2312" w:eastAsia="仿宋_GB2312" w:cs="仿宋_GB2312"/>
          <w:spacing w:val="8"/>
          <w:sz w:val="24"/>
          <w:szCs w:val="24"/>
          <w:shd w:val="clear" w:color="auto" w:fill="FFFFFF"/>
        </w:rPr>
        <w:tab/>
      </w:r>
    </w:p>
    <w:p w14:paraId="043B17DE">
      <w:pPr>
        <w:keepNext w:val="0"/>
        <w:keepLines w:val="0"/>
        <w:pageBreakBefore w:val="0"/>
        <w:kinsoku/>
        <w:wordWrap/>
        <w:overflowPunct/>
        <w:topLinePunct w:val="0"/>
        <w:autoSpaceDE/>
        <w:autoSpaceDN/>
        <w:bidi w:val="0"/>
        <w:adjustRightInd/>
        <w:snapToGrid/>
        <w:spacing w:line="360" w:lineRule="auto"/>
        <w:ind w:firstLine="422" w:firstLineChars="200"/>
        <w:jc w:val="center"/>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-67945</wp:posOffset>
                </wp:positionH>
                <wp:positionV relativeFrom="paragraph">
                  <wp:posOffset>33655</wp:posOffset>
                </wp:positionV>
                <wp:extent cx="5286375" cy="0"/>
                <wp:effectExtent l="0" t="6350" r="0" b="6350"/>
                <wp:wrapNone/>
                <wp:docPr id="1035" name="直接连接符 25"/>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5" o:spid="_x0000_s1026" o:spt="20" style="position:absolute;left:0pt;margin-left:-5.35pt;margin-top:2.65pt;height:0pt;width:416.25pt;z-index:251659264;mso-width-relative:page;mso-height-relative:page;" filled="f" stroked="t" coordsize="21600,21600" o:gfxdata="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UTnXzXAAAABwEAAA8AAAAAAAAAAQAg&#10;AAAAIgAAAGRycy9kb3ducmV2LnhtbFBLAQIUABQAAAAIAIdO4kAbhEvb1gEAAJMDAAAOAAAAAAAA&#10;AAEAIAAAACYBAABkcnMvZTJvRG9jLnhtbFBLBQYAAAAABgAGAFkBAABuBQ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4"/>
          <w:szCs w:val="24"/>
          <w:shd w:val="clear" w:color="auto" w:fill="FFFFFF"/>
          <w:lang w:eastAsia="zh-CN"/>
        </w:rPr>
        <w:t>注:摘自《中国居民膳食营养素参考摄入量2023版》</w:t>
      </w:r>
    </w:p>
    <w:p w14:paraId="3538E33B">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（二）少吃高能量食物，饮食清淡，限制饮酒。 </w:t>
      </w:r>
    </w:p>
    <w:p w14:paraId="46FA5C3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高能量食物通常是指提供 400kcal/100g 以上能量的食物，如油炸食品、含糖烘焙糕点、糖果、肥肉等；全谷物、 蔬菜和水果一般为低能量食物。</w:t>
      </w:r>
    </w:p>
    <w:p w14:paraId="5C7C18D6">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减重期间饮食要清淡，严格控制脂肪/油、盐、添加糖的摄入量，每天食盐摄入量不超过 5g，烹调油不超过20～ 25g，添加糖的摄入量最好控制 25g 以下。</w:t>
      </w:r>
    </w:p>
    <w:p w14:paraId="31FD25C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每克酒精可产生约 7kcal 能量，远高于同质量的碳水化 合物和蛋白质产生的能量值。酒精除可以带来能量以外，其 他对人体有用的营养素含量极少。因此，在减重期间应严格 限制饮酒。</w:t>
      </w:r>
    </w:p>
    <w:p w14:paraId="7562C32E">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（三）纠正不良饮食行为，科学进餐。 </w:t>
      </w:r>
    </w:p>
    <w:p w14:paraId="1FB8919F">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科学选择，进餐规律，定时定量，养成良好饮食行为是 维持健康体重的基础。</w:t>
      </w:r>
    </w:p>
    <w:p w14:paraId="7726D25B">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重视早餐，不漏餐，晚餐勿过晚进食，建议在 17:00～19:00 进食晚餐，晚餐后不宜再进食任何食物，但可以饮水。如饮水后仍饥饿难忍或有低血糖风险者，可以适当选择进食少许低能量高膳食纤维食物。</w:t>
      </w:r>
    </w:p>
    <w:p w14:paraId="6050CE8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不暴饮暴食，控制随意进食零食、饮料，避免夜宵。进餐宜细嚼慢咽，摄入同样食物，细嚼慢咽有利于减少总食量。另外，减缓进餐速度可以增加饱腹感，降低饥饿感。按照蔬菜-肉类-主食的顺序进餐，也有助于减少高能量食物的进食量。</w:t>
      </w:r>
    </w:p>
    <w:p w14:paraId="26895B8A">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（四）多动少静，睡眠充足，作息规律。 </w:t>
      </w:r>
    </w:p>
    <w:p w14:paraId="68E0C15E">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身体活动不足或缺乏和久坐的静态生活方式是肥胖发生的重要原因。肥胖患者减重的运动原则是中低强度有氧运动为主，抗阻运动为辅。每周进行 150～300 分钟中等强度的有氧运动，每周 5～7 天，至少隔天运动 1 次；抗阻运动每周 2～3 天，隔天 1 次，每次 10～20 分钟。每周通过运动消耗能量 2000kcal 或以上。</w:t>
      </w:r>
    </w:p>
    <w:p w14:paraId="6E3C78C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运动减重贵在坚持，选择和培养自己喜欢的运动方式，持之以恒，把天天运动融入日常生活。尽可能减少静坐和被动视屏时间，每天静坐和被动视屏时间要控制在 2～4 小时以内。对于长期静坐或伏案工作者，每小时要起来活动 3～5 分钟。经常熬夜、睡眠不足、作息无规律可引起内分泌紊乱，脂肪代谢异常，增加肥胖风险，导致“过劳肥”。肥胖患者应按昼夜生物节律，保证每日 7 小时左右的睡眠时间，建议在夜里 11 点之前上床睡觉。</w:t>
      </w:r>
    </w:p>
    <w:p w14:paraId="1051DC4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（五）食养有道，合理选择食药物质。 </w:t>
      </w:r>
    </w:p>
    <w:p w14:paraId="03B58D4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遵循“药食同源”理论，结合中医辨证分型论治，胃热火郁证采用具有清胃热、消导滞作用的食药物质，如铁皮石 斛、麦芽等；痰湿内盛证采用化痰消滞作用的食药物质，如薏苡仁、橘皮、砂仁等；气郁血瘀证采用理气化瘀作用的食药物质，如橘皮、山楂、当归等；脾虚不运证采用健脾益气作用的食药物质，如茯苓、山药、莲子等；脾肾阳虚证采用温阳补虚作用的食药物质，如小茴香、山药、肉桂等。</w:t>
      </w:r>
    </w:p>
    <w:p w14:paraId="444B53F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（六）安全减重，达到并保持健康体重。 </w:t>
      </w:r>
    </w:p>
    <w:p w14:paraId="38C043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科学减重需遵照循序渐进的原则，使大脑思维、体脂肪、 肌肉和各个器官适应新能量状态，逐步达到新平衡。减重速度并非越快越好，过快的减重速度易对机体器官组织造成损伤，甚至危及生命。</w:t>
      </w:r>
    </w:p>
    <w:p w14:paraId="40BCE71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较为理想的减重目标应该是 6 个月内减少当前体重的 5%～10%，合理的减重速度为每月减 2～4kg。为避免减重速度过快对机体造成损害，同时也增加减重者的信心，建议在减重初始时设立体重减轻约每周 0.5kg 的目标，但随着机体非脂肪组织的减少，机体对能量变化的反应减弱，需要增加能量消耗或进一步限制能量摄入来继续减轻体重。 </w:t>
      </w:r>
    </w:p>
    <w:p w14:paraId="79AF14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在减重过程中应注意自我监测，不仅包括对体重变化的 监测，还应包含食物摄入量以及身体活动情况的监测同时，减重的过程中不只要关注体重的变化，更要关注体脂率和肌肉量的变化，做到减少肌肉的流失，维持机体的肌肉量和基础代谢率。减重者应清楚地了解减重的过程和机体正常的生理变化，循序渐进，逐步减至正常体重。</w:t>
      </w:r>
    </w:p>
    <w:p w14:paraId="472EE76F">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7BAD6E59">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33CE4098">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55DB54EC">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1B281242">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230E590D">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bCs/>
          <w:spacing w:val="8"/>
          <w:sz w:val="32"/>
          <w:szCs w:val="32"/>
          <w:lang w:val="en-US" w:eastAsia="zh-CN"/>
        </w:rPr>
      </w:pPr>
      <w:r>
        <w:rPr>
          <w:rFonts w:hint="eastAsia" w:ascii="仿宋_GB2312" w:hAnsi="仿宋_GB2312" w:eastAsia="仿宋_GB2312" w:cs="仿宋_GB2312"/>
          <w:b/>
          <w:bCs/>
          <w:spacing w:val="8"/>
          <w:sz w:val="32"/>
          <w:szCs w:val="32"/>
          <w:lang w:eastAsia="zh-CN"/>
        </w:rPr>
        <w:t>附单项选择题</w:t>
      </w:r>
    </w:p>
    <w:p w14:paraId="47A01D74">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成人肥胖判定标准不包括（  ）</w:t>
      </w:r>
    </w:p>
    <w:p w14:paraId="2304E47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肥胖 BMI&gt;28.0</w:t>
      </w:r>
      <w:r>
        <w:rPr>
          <w:rFonts w:hint="eastAsia" w:ascii="仿宋_GB2312" w:hAnsi="仿宋_GB2312" w:eastAsia="仿宋_GB2312" w:cs="仿宋_GB2312"/>
          <w:kern w:val="0"/>
          <w:sz w:val="32"/>
          <w:szCs w:val="32"/>
          <w:lang w:val="en-US" w:eastAsia="zh-CN"/>
        </w:rPr>
        <w:tab/>
      </w:r>
    </w:p>
    <w:p w14:paraId="42442DE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超重</w:t>
      </w:r>
      <w:r>
        <w:rPr>
          <w:rFonts w:hint="eastAsia" w:ascii="仿宋_GB2312" w:hAnsi="仿宋_GB2312" w:eastAsia="仿宋_GB2312" w:cs="仿宋_GB2312"/>
          <w:kern w:val="0"/>
          <w:sz w:val="32"/>
          <w:szCs w:val="32"/>
          <w:lang w:val="en-US" w:eastAsia="zh-CN"/>
        </w:rPr>
        <w:tab/>
      </w:r>
      <w:r>
        <w:rPr>
          <w:rFonts w:hint="eastAsia" w:ascii="仿宋_GB2312" w:hAnsi="仿宋_GB2312" w:eastAsia="仿宋_GB2312" w:cs="仿宋_GB2312"/>
          <w:kern w:val="0"/>
          <w:sz w:val="32"/>
          <w:szCs w:val="32"/>
          <w:lang w:val="en-US" w:eastAsia="zh-CN"/>
        </w:rPr>
        <w:t>24.0&lt;BMI&lt;28.0</w:t>
      </w:r>
      <w:r>
        <w:rPr>
          <w:rFonts w:hint="eastAsia" w:ascii="仿宋_GB2312" w:hAnsi="仿宋_GB2312" w:eastAsia="仿宋_GB2312" w:cs="仿宋_GB2312"/>
          <w:kern w:val="0"/>
          <w:sz w:val="32"/>
          <w:szCs w:val="32"/>
          <w:lang w:val="en-US" w:eastAsia="zh-CN"/>
        </w:rPr>
        <w:tab/>
      </w:r>
    </w:p>
    <w:p w14:paraId="6027DDA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体重正常</w:t>
      </w:r>
      <w:r>
        <w:rPr>
          <w:rFonts w:hint="eastAsia" w:ascii="仿宋_GB2312" w:hAnsi="仿宋_GB2312" w:eastAsia="仿宋_GB2312" w:cs="仿宋_GB2312"/>
          <w:kern w:val="0"/>
          <w:sz w:val="32"/>
          <w:szCs w:val="32"/>
          <w:lang w:val="en-US" w:eastAsia="zh-CN"/>
        </w:rPr>
        <w:tab/>
      </w:r>
      <w:r>
        <w:rPr>
          <w:rFonts w:hint="eastAsia" w:ascii="仿宋_GB2312" w:hAnsi="仿宋_GB2312" w:eastAsia="仿宋_GB2312" w:cs="仿宋_GB2312"/>
          <w:kern w:val="0"/>
          <w:sz w:val="32"/>
          <w:szCs w:val="32"/>
          <w:lang w:val="en-US" w:eastAsia="zh-CN"/>
        </w:rPr>
        <w:t>18.5&lt;BMI&lt;24.0</w:t>
      </w:r>
      <w:r>
        <w:rPr>
          <w:rFonts w:hint="eastAsia" w:ascii="仿宋_GB2312" w:hAnsi="仿宋_GB2312" w:eastAsia="仿宋_GB2312" w:cs="仿宋_GB2312"/>
          <w:kern w:val="0"/>
          <w:sz w:val="32"/>
          <w:szCs w:val="32"/>
          <w:lang w:val="en-US" w:eastAsia="zh-CN"/>
        </w:rPr>
        <w:tab/>
      </w:r>
    </w:p>
    <w:p w14:paraId="00648461">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中心型肥胖  </w:t>
      </w:r>
      <w:bookmarkStart w:id="0" w:name="_GoBack"/>
      <w:bookmarkEnd w:id="0"/>
      <w:r>
        <w:rPr>
          <w:rFonts w:hint="eastAsia" w:ascii="仿宋_GB2312" w:hAnsi="仿宋_GB2312" w:eastAsia="仿宋_GB2312" w:cs="仿宋_GB2312"/>
          <w:kern w:val="0"/>
          <w:sz w:val="32"/>
          <w:szCs w:val="32"/>
          <w:lang w:val="en-US" w:eastAsia="zh-CN"/>
        </w:rPr>
        <w:t>85&lt;男性腰围&lt;90</w:t>
      </w:r>
    </w:p>
    <w:p w14:paraId="42AA800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中医对肥胖的分型不包括（  ）</w:t>
      </w:r>
    </w:p>
    <w:p w14:paraId="60AF050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胃热火郁证</w:t>
      </w:r>
    </w:p>
    <w:p w14:paraId="738AE1DA">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spacing w:val="8"/>
          <w:sz w:val="32"/>
          <w:szCs w:val="32"/>
          <w:shd w:val="clear" w:color="auto" w:fill="FFFFFF"/>
        </w:rPr>
        <w:t>痰湿内盛证</w:t>
      </w:r>
    </w:p>
    <w:p w14:paraId="5CD8E59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C. </w:t>
      </w:r>
      <w:r>
        <w:rPr>
          <w:rFonts w:hint="eastAsia" w:ascii="仿宋_GB2312" w:hAnsi="仿宋_GB2312" w:eastAsia="仿宋_GB2312" w:cs="仿宋_GB2312"/>
          <w:spacing w:val="8"/>
          <w:sz w:val="32"/>
          <w:szCs w:val="32"/>
          <w:shd w:val="clear" w:color="auto" w:fill="FFFFFF"/>
        </w:rPr>
        <w:t>气郁血瘀证</w:t>
      </w:r>
    </w:p>
    <w:p w14:paraId="7766AB8E">
      <w:pPr>
        <w:numPr>
          <w:ilvl w:val="0"/>
          <w:numId w:val="0"/>
        </w:numPr>
        <w:spacing w:line="360" w:lineRule="auto"/>
        <w:ind w:leftChars="0"/>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D. </w:t>
      </w:r>
      <w:r>
        <w:rPr>
          <w:rFonts w:hint="eastAsia" w:ascii="仿宋_GB2312" w:hAnsi="仿宋_GB2312" w:eastAsia="仿宋_GB2312" w:cs="仿宋_GB2312"/>
          <w:spacing w:val="8"/>
          <w:sz w:val="32"/>
          <w:szCs w:val="32"/>
          <w:shd w:val="clear" w:color="auto" w:fill="FFFFFF"/>
        </w:rPr>
        <w:t>脾肾</w:t>
      </w:r>
      <w:r>
        <w:rPr>
          <w:rFonts w:hint="eastAsia" w:ascii="仿宋_GB2312" w:hAnsi="仿宋_GB2312" w:eastAsia="仿宋_GB2312" w:cs="仿宋_GB2312"/>
          <w:spacing w:val="8"/>
          <w:sz w:val="32"/>
          <w:szCs w:val="32"/>
          <w:shd w:val="clear" w:color="auto" w:fill="FFFFFF"/>
          <w:lang w:eastAsia="zh-CN"/>
        </w:rPr>
        <w:t>阴</w:t>
      </w:r>
      <w:r>
        <w:rPr>
          <w:rFonts w:hint="eastAsia" w:ascii="仿宋_GB2312" w:hAnsi="仿宋_GB2312" w:eastAsia="仿宋_GB2312" w:cs="仿宋_GB2312"/>
          <w:spacing w:val="8"/>
          <w:sz w:val="32"/>
          <w:szCs w:val="32"/>
          <w:shd w:val="clear" w:color="auto" w:fill="FFFFFF"/>
        </w:rPr>
        <w:t>虚证</w:t>
      </w:r>
      <w:r>
        <w:rPr>
          <w:rStyle w:val="8"/>
          <w:rFonts w:hint="eastAsia" w:ascii="仿宋_GB2312" w:hAnsi="仿宋_GB2312" w:eastAsia="仿宋_GB2312" w:cs="仿宋_GB2312"/>
          <w:b w:val="0"/>
          <w:bCs w:val="0"/>
          <w:i w:val="0"/>
          <w:iCs w:val="0"/>
          <w:caps w:val="0"/>
          <w:color w:val="323232"/>
          <w:spacing w:val="30"/>
          <w:sz w:val="32"/>
          <w:szCs w:val="32"/>
          <w:shd w:val="clear" w:color="auto" w:fill="FFFFFF"/>
        </w:rPr>
        <w:t>：</w:t>
      </w:r>
    </w:p>
    <w:p w14:paraId="5B96E40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控制总能量摄入，保持合理膳食，以下说法正确的是（  ）</w:t>
      </w:r>
    </w:p>
    <w:p w14:paraId="5CAD7E0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推荐每日能量摄入平均降低 30%～</w:t>
      </w:r>
      <w:r>
        <w:rPr>
          <w:rFonts w:hint="eastAsia" w:ascii="仿宋_GB2312" w:hAnsi="仿宋_GB2312" w:eastAsia="仿宋_GB2312" w:cs="仿宋_GB2312"/>
          <w:spacing w:val="8"/>
          <w:sz w:val="32"/>
          <w:szCs w:val="32"/>
          <w:shd w:val="clear" w:color="auto" w:fill="FFFFFF"/>
          <w:lang w:val="en-US" w:eastAsia="zh-CN"/>
        </w:rPr>
        <w:t>4</w:t>
      </w:r>
      <w:r>
        <w:rPr>
          <w:rFonts w:hint="eastAsia" w:ascii="仿宋_GB2312" w:hAnsi="仿宋_GB2312" w:eastAsia="仿宋_GB2312" w:cs="仿宋_GB2312"/>
          <w:spacing w:val="8"/>
          <w:sz w:val="32"/>
          <w:szCs w:val="32"/>
          <w:shd w:val="clear" w:color="auto" w:fill="FFFFFF"/>
        </w:rPr>
        <w:t>0%或降低 500～1000kcal</w:t>
      </w:r>
    </w:p>
    <w:p w14:paraId="312FA40C">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 xml:space="preserve">推荐每日能量摄入男性1200～1500kcal、女性 1000～ 1200kcal </w:t>
      </w:r>
    </w:p>
    <w:p w14:paraId="1CAB40AA">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身高（cm）-105 计算出理想体重（kg），再乘以能量系数</w:t>
      </w:r>
      <w:r>
        <w:rPr>
          <w:rFonts w:hint="eastAsia" w:ascii="仿宋_GB2312" w:hAnsi="仿宋_GB2312" w:eastAsia="仿宋_GB2312" w:cs="仿宋_GB2312"/>
          <w:spacing w:val="8"/>
          <w:sz w:val="32"/>
          <w:szCs w:val="32"/>
          <w:shd w:val="clear" w:color="auto" w:fill="FFFFFF"/>
          <w:lang w:val="en-US" w:eastAsia="zh-CN"/>
        </w:rPr>
        <w:t>20</w:t>
      </w:r>
      <w:r>
        <w:rPr>
          <w:rFonts w:hint="eastAsia" w:ascii="仿宋_GB2312" w:hAnsi="仿宋_GB2312" w:eastAsia="仿宋_GB2312" w:cs="仿宋_GB2312"/>
          <w:spacing w:val="8"/>
          <w:sz w:val="32"/>
          <w:szCs w:val="32"/>
          <w:shd w:val="clear" w:color="auto" w:fill="FFFFFF"/>
        </w:rPr>
        <w:t>～35kcal/kg</w:t>
      </w:r>
    </w:p>
    <w:p w14:paraId="49C8A960">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一般卧床者1</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 xml:space="preserve">kcal/kg、轻身体活动者 </w:t>
      </w:r>
      <w:r>
        <w:rPr>
          <w:rFonts w:hint="eastAsia" w:ascii="仿宋_GB2312" w:hAnsi="仿宋_GB2312" w:eastAsia="仿宋_GB2312" w:cs="仿宋_GB2312"/>
          <w:spacing w:val="8"/>
          <w:sz w:val="32"/>
          <w:szCs w:val="32"/>
          <w:shd w:val="clear" w:color="auto" w:fill="FFFFFF"/>
          <w:lang w:val="en-US" w:eastAsia="zh-CN"/>
        </w:rPr>
        <w:t>15</w:t>
      </w:r>
      <w:r>
        <w:rPr>
          <w:rFonts w:hint="eastAsia" w:ascii="仿宋_GB2312" w:hAnsi="仿宋_GB2312" w:eastAsia="仿宋_GB2312" w:cs="仿宋_GB2312"/>
          <w:spacing w:val="8"/>
          <w:sz w:val="32"/>
          <w:szCs w:val="32"/>
          <w:shd w:val="clear" w:color="auto" w:fill="FFFFFF"/>
        </w:rPr>
        <w:t>～25kcal/kg、中身体活动者30kcal/kg、重身体活动者 35kcal/kg</w:t>
      </w:r>
    </w:p>
    <w:p w14:paraId="6BE89B6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8"/>
          <w:sz w:val="32"/>
          <w:szCs w:val="32"/>
          <w:shd w:val="clear" w:color="auto" w:fill="FFFFFF"/>
        </w:rPr>
        <w:t>中国居民成人膳食能量需要量</w:t>
      </w:r>
      <w:r>
        <w:rPr>
          <w:rFonts w:hint="eastAsia" w:ascii="仿宋_GB2312" w:hAnsi="仿宋_GB2312" w:eastAsia="仿宋_GB2312" w:cs="仿宋_GB2312"/>
          <w:spacing w:val="8"/>
          <w:sz w:val="32"/>
          <w:szCs w:val="32"/>
          <w:shd w:val="clear" w:color="auto" w:fill="FFFFFF"/>
          <w:lang w:eastAsia="zh-CN"/>
        </w:rPr>
        <w:t>说法正确的是</w:t>
      </w:r>
      <w:r>
        <w:rPr>
          <w:rFonts w:hint="eastAsia" w:ascii="仿宋_GB2312" w:hAnsi="仿宋_GB2312" w:eastAsia="仿宋_GB2312" w:cs="仿宋_GB2312"/>
          <w:kern w:val="0"/>
          <w:sz w:val="32"/>
          <w:szCs w:val="32"/>
          <w:lang w:val="en-US" w:eastAsia="zh-CN"/>
        </w:rPr>
        <w:t>（  ）</w:t>
      </w:r>
    </w:p>
    <w:p w14:paraId="30D7319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lang w:val="en-US" w:eastAsia="zh-CN"/>
        </w:rPr>
        <w:t>A.</w:t>
      </w:r>
      <w:r>
        <w:rPr>
          <w:rFonts w:hint="eastAsia" w:ascii="仿宋_GB2312" w:hAnsi="仿宋_GB2312" w:eastAsia="仿宋_GB2312" w:cs="仿宋_GB2312"/>
          <w:spacing w:val="8"/>
          <w:sz w:val="32"/>
          <w:szCs w:val="32"/>
          <w:shd w:val="clear" w:color="auto" w:fill="FFFFFF"/>
        </w:rPr>
        <w:t>成年男性</w:t>
      </w:r>
      <w:r>
        <w:rPr>
          <w:rFonts w:hint="eastAsia" w:ascii="仿宋_GB2312" w:hAnsi="仿宋_GB2312" w:eastAsia="仿宋_GB2312" w:cs="仿宋_GB2312"/>
          <w:spacing w:val="8"/>
          <w:sz w:val="32"/>
          <w:szCs w:val="32"/>
          <w:shd w:val="clear" w:color="auto" w:fill="FFFFFF"/>
          <w:lang w:eastAsia="zh-CN"/>
        </w:rPr>
        <w:t>低强度身体活动水平</w:t>
      </w:r>
      <w:r>
        <w:rPr>
          <w:rFonts w:hint="eastAsia" w:ascii="仿宋_GB2312" w:hAnsi="仿宋_GB2312" w:eastAsia="仿宋_GB2312" w:cs="仿宋_GB2312"/>
          <w:spacing w:val="8"/>
          <w:sz w:val="32"/>
          <w:szCs w:val="32"/>
          <w:shd w:val="clear" w:color="auto" w:fill="FFFFFF"/>
        </w:rPr>
        <w:t>能量需要量19</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0~2150kcal/d</w:t>
      </w:r>
    </w:p>
    <w:p w14:paraId="2B90CFD7">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B.</w:t>
      </w:r>
      <w:r>
        <w:rPr>
          <w:rFonts w:hint="eastAsia" w:ascii="仿宋_GB2312" w:hAnsi="仿宋_GB2312" w:eastAsia="仿宋_GB2312" w:cs="仿宋_GB2312"/>
          <w:spacing w:val="8"/>
          <w:sz w:val="32"/>
          <w:szCs w:val="32"/>
          <w:shd w:val="clear" w:color="auto" w:fill="FFFFFF"/>
        </w:rPr>
        <w:t>成年男性</w:t>
      </w:r>
      <w:r>
        <w:rPr>
          <w:rFonts w:hint="eastAsia" w:ascii="仿宋_GB2312" w:hAnsi="仿宋_GB2312" w:eastAsia="仿宋_GB2312" w:cs="仿宋_GB2312"/>
          <w:spacing w:val="8"/>
          <w:sz w:val="32"/>
          <w:szCs w:val="32"/>
          <w:shd w:val="clear" w:color="auto" w:fill="FFFFFF"/>
          <w:lang w:eastAsia="zh-CN"/>
        </w:rPr>
        <w:t>高强度身体活动水平</w:t>
      </w:r>
      <w:r>
        <w:rPr>
          <w:rFonts w:hint="eastAsia" w:ascii="仿宋_GB2312" w:hAnsi="仿宋_GB2312" w:eastAsia="仿宋_GB2312" w:cs="仿宋_GB2312"/>
          <w:spacing w:val="8"/>
          <w:sz w:val="32"/>
          <w:szCs w:val="32"/>
          <w:shd w:val="clear" w:color="auto" w:fill="FFFFFF"/>
        </w:rPr>
        <w:t>能量需要量2800~30</w:t>
      </w:r>
      <w:r>
        <w:rPr>
          <w:rFonts w:hint="eastAsia" w:ascii="仿宋_GB2312" w:hAnsi="仿宋_GB2312" w:eastAsia="仿宋_GB2312" w:cs="仿宋_GB2312"/>
          <w:spacing w:val="8"/>
          <w:sz w:val="32"/>
          <w:szCs w:val="32"/>
          <w:shd w:val="clear" w:color="auto" w:fill="FFFFFF"/>
          <w:lang w:val="en-US" w:eastAsia="zh-CN"/>
        </w:rPr>
        <w:t>00</w:t>
      </w:r>
      <w:r>
        <w:rPr>
          <w:rFonts w:hint="eastAsia" w:ascii="仿宋_GB2312" w:hAnsi="仿宋_GB2312" w:eastAsia="仿宋_GB2312" w:cs="仿宋_GB2312"/>
          <w:spacing w:val="8"/>
          <w:sz w:val="32"/>
          <w:szCs w:val="32"/>
          <w:shd w:val="clear" w:color="auto" w:fill="FFFFFF"/>
        </w:rPr>
        <w:t>kcal/d</w:t>
      </w:r>
    </w:p>
    <w:p w14:paraId="2F2A5EE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成年</w:t>
      </w:r>
      <w:r>
        <w:rPr>
          <w:rFonts w:hint="eastAsia" w:ascii="仿宋_GB2312" w:hAnsi="仿宋_GB2312" w:eastAsia="仿宋_GB2312" w:cs="仿宋_GB2312"/>
          <w:spacing w:val="8"/>
          <w:sz w:val="32"/>
          <w:szCs w:val="32"/>
          <w:shd w:val="clear" w:color="auto" w:fill="FFFFFF"/>
          <w:lang w:eastAsia="zh-CN"/>
        </w:rPr>
        <w:t>女性低强度身体活动水平</w:t>
      </w:r>
      <w:r>
        <w:rPr>
          <w:rFonts w:hint="eastAsia" w:ascii="仿宋_GB2312" w:hAnsi="仿宋_GB2312" w:eastAsia="仿宋_GB2312" w:cs="仿宋_GB2312"/>
          <w:spacing w:val="8"/>
          <w:sz w:val="32"/>
          <w:szCs w:val="32"/>
          <w:shd w:val="clear" w:color="auto" w:fill="FFFFFF"/>
        </w:rPr>
        <w:t>能量需要量16</w:t>
      </w:r>
      <w:r>
        <w:rPr>
          <w:rFonts w:hint="eastAsia" w:ascii="仿宋_GB2312" w:hAnsi="仿宋_GB2312" w:eastAsia="仿宋_GB2312" w:cs="仿宋_GB2312"/>
          <w:spacing w:val="8"/>
          <w:sz w:val="32"/>
          <w:szCs w:val="32"/>
          <w:shd w:val="clear" w:color="auto" w:fill="FFFFFF"/>
          <w:lang w:val="en-US" w:eastAsia="zh-CN"/>
        </w:rPr>
        <w:t>5</w:t>
      </w:r>
      <w:r>
        <w:rPr>
          <w:rFonts w:hint="eastAsia" w:ascii="仿宋_GB2312" w:hAnsi="仿宋_GB2312" w:eastAsia="仿宋_GB2312" w:cs="仿宋_GB2312"/>
          <w:spacing w:val="8"/>
          <w:sz w:val="32"/>
          <w:szCs w:val="32"/>
          <w:shd w:val="clear" w:color="auto" w:fill="FFFFFF"/>
        </w:rPr>
        <w:t>0~1700kcal/d</w:t>
      </w:r>
    </w:p>
    <w:p w14:paraId="4136F7A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成年</w:t>
      </w:r>
      <w:r>
        <w:rPr>
          <w:rFonts w:hint="eastAsia" w:ascii="仿宋_GB2312" w:hAnsi="仿宋_GB2312" w:eastAsia="仿宋_GB2312" w:cs="仿宋_GB2312"/>
          <w:spacing w:val="8"/>
          <w:sz w:val="32"/>
          <w:szCs w:val="32"/>
          <w:shd w:val="clear" w:color="auto" w:fill="FFFFFF"/>
          <w:lang w:eastAsia="zh-CN"/>
        </w:rPr>
        <w:t>女性中强度身体活动水平</w:t>
      </w:r>
      <w:r>
        <w:rPr>
          <w:rFonts w:hint="eastAsia" w:ascii="仿宋_GB2312" w:hAnsi="仿宋_GB2312" w:eastAsia="仿宋_GB2312" w:cs="仿宋_GB2312"/>
          <w:spacing w:val="8"/>
          <w:sz w:val="32"/>
          <w:szCs w:val="32"/>
          <w:shd w:val="clear" w:color="auto" w:fill="FFFFFF"/>
        </w:rPr>
        <w:t>能量需要量19</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0~2100kcal/d</w:t>
      </w:r>
    </w:p>
    <w:p w14:paraId="76DAD3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5、以下说法正确的是（  ）</w:t>
      </w:r>
    </w:p>
    <w:p w14:paraId="14F62E1C">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A. </w:t>
      </w:r>
      <w:r>
        <w:rPr>
          <w:rFonts w:hint="eastAsia" w:ascii="仿宋_GB2312" w:hAnsi="仿宋_GB2312" w:eastAsia="仿宋_GB2312" w:cs="仿宋_GB2312"/>
          <w:spacing w:val="8"/>
          <w:sz w:val="32"/>
          <w:szCs w:val="32"/>
          <w:shd w:val="clear" w:color="auto" w:fill="FFFFFF"/>
        </w:rPr>
        <w:t>高能量食物通常是指提供 400kcal/100g 以上能量的食物</w:t>
      </w:r>
    </w:p>
    <w:p w14:paraId="64EEC239">
      <w:pPr>
        <w:numPr>
          <w:ilvl w:val="0"/>
          <w:numId w:val="0"/>
        </w:numPr>
        <w:spacing w:line="360" w:lineRule="auto"/>
        <w:ind w:leftChars="0"/>
        <w:rPr>
          <w:rFonts w:hint="eastAsia" w:ascii="仿宋_GB2312" w:hAnsi="仿宋_GB2312" w:eastAsia="仿宋_GB2312" w:cs="仿宋_GB2312"/>
          <w:spacing w:val="8"/>
          <w:sz w:val="32"/>
          <w:szCs w:val="32"/>
          <w:shd w:val="clear" w:color="auto" w:fill="FFFFFF"/>
          <w:lang w:val="en-US" w:eastAsia="zh-CN"/>
        </w:rPr>
      </w:pPr>
      <w:r>
        <w:rPr>
          <w:rFonts w:hint="eastAsia" w:ascii="仿宋_GB2312" w:hAnsi="仿宋_GB2312" w:eastAsia="仿宋_GB2312" w:cs="仿宋_GB2312"/>
          <w:kern w:val="0"/>
          <w:sz w:val="32"/>
          <w:szCs w:val="32"/>
          <w:lang w:val="en-US" w:eastAsia="zh-CN"/>
        </w:rPr>
        <w:t>B.</w:t>
      </w:r>
      <w:r>
        <w:rPr>
          <w:rFonts w:hint="eastAsia" w:ascii="仿宋_GB2312" w:hAnsi="仿宋_GB2312" w:eastAsia="仿宋_GB2312" w:cs="仿宋_GB2312"/>
          <w:spacing w:val="8"/>
          <w:sz w:val="32"/>
          <w:szCs w:val="32"/>
          <w:shd w:val="clear" w:color="auto" w:fill="FFFFFF"/>
        </w:rPr>
        <w:t xml:space="preserve">减重期间饮食要清淡，每天食盐摄入量不超过 </w:t>
      </w:r>
      <w:r>
        <w:rPr>
          <w:rFonts w:hint="eastAsia" w:ascii="仿宋_GB2312" w:hAnsi="仿宋_GB2312" w:eastAsia="仿宋_GB2312" w:cs="仿宋_GB2312"/>
          <w:spacing w:val="8"/>
          <w:sz w:val="32"/>
          <w:szCs w:val="32"/>
          <w:shd w:val="clear" w:color="auto" w:fill="FFFFFF"/>
          <w:lang w:val="en-US" w:eastAsia="zh-CN"/>
        </w:rPr>
        <w:t>6</w:t>
      </w:r>
      <w:r>
        <w:rPr>
          <w:rFonts w:hint="eastAsia" w:ascii="仿宋_GB2312" w:hAnsi="仿宋_GB2312" w:eastAsia="仿宋_GB2312" w:cs="仿宋_GB2312"/>
          <w:spacing w:val="8"/>
          <w:sz w:val="32"/>
          <w:szCs w:val="32"/>
          <w:shd w:val="clear" w:color="auto" w:fill="FFFFFF"/>
        </w:rPr>
        <w:t>g</w:t>
      </w:r>
    </w:p>
    <w:p w14:paraId="22D1C606">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C.</w:t>
      </w:r>
      <w:r>
        <w:rPr>
          <w:rFonts w:hint="eastAsia" w:ascii="仿宋_GB2312" w:hAnsi="仿宋_GB2312" w:eastAsia="仿宋_GB2312" w:cs="仿宋_GB2312"/>
          <w:spacing w:val="8"/>
          <w:sz w:val="32"/>
          <w:szCs w:val="32"/>
          <w:shd w:val="clear" w:color="auto" w:fill="FFFFFF"/>
        </w:rPr>
        <w:t>减重期间饮食要清淡，添加糖的摄入量最好控制 2</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g</w:t>
      </w:r>
      <w:r>
        <w:rPr>
          <w:rFonts w:hint="eastAsia" w:ascii="仿宋_GB2312" w:hAnsi="仿宋_GB2312" w:eastAsia="仿宋_GB2312" w:cs="仿宋_GB2312"/>
          <w:spacing w:val="8"/>
          <w:sz w:val="32"/>
          <w:szCs w:val="32"/>
          <w:shd w:val="clear" w:color="auto" w:fill="FFFFFF"/>
          <w:lang w:eastAsia="zh-CN"/>
        </w:rPr>
        <w:t>以下</w:t>
      </w:r>
    </w:p>
    <w:p w14:paraId="47AA64A3">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D.</w:t>
      </w:r>
      <w:r>
        <w:rPr>
          <w:rFonts w:hint="eastAsia" w:ascii="仿宋_GB2312" w:hAnsi="仿宋_GB2312" w:eastAsia="仿宋_GB2312" w:cs="仿宋_GB2312"/>
          <w:spacing w:val="8"/>
          <w:sz w:val="32"/>
          <w:szCs w:val="32"/>
          <w:shd w:val="clear" w:color="auto" w:fill="FFFFFF"/>
        </w:rPr>
        <w:t xml:space="preserve">每克酒精可产生约 </w:t>
      </w:r>
      <w:r>
        <w:rPr>
          <w:rFonts w:hint="eastAsia" w:ascii="仿宋_GB2312" w:hAnsi="仿宋_GB2312" w:eastAsia="仿宋_GB2312" w:cs="仿宋_GB2312"/>
          <w:spacing w:val="8"/>
          <w:sz w:val="32"/>
          <w:szCs w:val="32"/>
          <w:shd w:val="clear" w:color="auto" w:fill="FFFFFF"/>
          <w:lang w:val="en-US" w:eastAsia="zh-CN"/>
        </w:rPr>
        <w:t>5</w:t>
      </w:r>
      <w:r>
        <w:rPr>
          <w:rFonts w:hint="eastAsia" w:ascii="仿宋_GB2312" w:hAnsi="仿宋_GB2312" w:eastAsia="仿宋_GB2312" w:cs="仿宋_GB2312"/>
          <w:spacing w:val="8"/>
          <w:sz w:val="32"/>
          <w:szCs w:val="32"/>
          <w:shd w:val="clear" w:color="auto" w:fill="FFFFFF"/>
        </w:rPr>
        <w:t>kcal 能量</w:t>
      </w:r>
    </w:p>
    <w:p w14:paraId="25EC367F">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spacing w:val="8"/>
          <w:sz w:val="32"/>
          <w:szCs w:val="32"/>
          <w:shd w:val="clear" w:color="auto" w:fill="FFFFFF"/>
        </w:rPr>
        <w:t>纠正不良饮食行为，科学进餐</w:t>
      </w:r>
      <w:r>
        <w:rPr>
          <w:rFonts w:hint="eastAsia" w:ascii="仿宋_GB2312" w:hAnsi="仿宋_GB2312" w:eastAsia="仿宋_GB2312" w:cs="仿宋_GB2312"/>
          <w:spacing w:val="8"/>
          <w:sz w:val="32"/>
          <w:szCs w:val="32"/>
          <w:shd w:val="clear" w:color="auto" w:fill="FFFFFF"/>
          <w:lang w:eastAsia="zh-CN"/>
        </w:rPr>
        <w:t>，以下说法不正确的有</w:t>
      </w:r>
      <w:r>
        <w:rPr>
          <w:rFonts w:hint="eastAsia" w:ascii="仿宋_GB2312" w:hAnsi="仿宋_GB2312" w:eastAsia="仿宋_GB2312" w:cs="仿宋_GB2312"/>
          <w:kern w:val="0"/>
          <w:sz w:val="32"/>
          <w:szCs w:val="32"/>
          <w:lang w:val="en-US" w:eastAsia="zh-CN"/>
        </w:rPr>
        <w:t>（  ）</w:t>
      </w:r>
    </w:p>
    <w:p w14:paraId="1486753A">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A. </w:t>
      </w:r>
      <w:r>
        <w:rPr>
          <w:rFonts w:hint="eastAsia" w:ascii="仿宋_GB2312" w:hAnsi="仿宋_GB2312" w:eastAsia="仿宋_GB2312" w:cs="仿宋_GB2312"/>
          <w:spacing w:val="8"/>
          <w:sz w:val="32"/>
          <w:szCs w:val="32"/>
          <w:shd w:val="clear" w:color="auto" w:fill="FFFFFF"/>
        </w:rPr>
        <w:t>一日三餐合理分配饮食，推荐早中晚三餐供能比为 3:4:</w:t>
      </w:r>
      <w:r>
        <w:rPr>
          <w:rFonts w:hint="eastAsia" w:ascii="仿宋_GB2312" w:hAnsi="仿宋_GB2312" w:eastAsia="仿宋_GB2312" w:cs="仿宋_GB2312"/>
          <w:spacing w:val="8"/>
          <w:sz w:val="32"/>
          <w:szCs w:val="32"/>
          <w:shd w:val="clear" w:color="auto" w:fill="FFFFFF"/>
          <w:lang w:val="en-US" w:eastAsia="zh-CN"/>
        </w:rPr>
        <w:t>2</w:t>
      </w:r>
    </w:p>
    <w:p w14:paraId="4B75B753">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B. </w:t>
      </w:r>
      <w:r>
        <w:rPr>
          <w:rFonts w:hint="eastAsia" w:ascii="仿宋_GB2312" w:hAnsi="仿宋_GB2312" w:eastAsia="仿宋_GB2312" w:cs="仿宋_GB2312"/>
          <w:spacing w:val="8"/>
          <w:sz w:val="32"/>
          <w:szCs w:val="32"/>
          <w:shd w:val="clear" w:color="auto" w:fill="FFFFFF"/>
        </w:rPr>
        <w:t>重视早餐，不漏餐，晚餐勿过晚进食，建议在 17:00～19:00 进食晚餐</w:t>
      </w:r>
    </w:p>
    <w:p w14:paraId="0DC49152">
      <w:pPr>
        <w:widowControl w:val="0"/>
        <w:numPr>
          <w:ilvl w:val="0"/>
          <w:numId w:val="6"/>
        </w:numPr>
        <w:spacing w:line="360" w:lineRule="auto"/>
        <w:ind w:left="0" w:lef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不暴饮暴食，控制随意进食零食、饮料，避免夜宵</w:t>
      </w:r>
    </w:p>
    <w:p w14:paraId="764E43E1">
      <w:pPr>
        <w:widowControl w:val="0"/>
        <w:numPr>
          <w:ilvl w:val="0"/>
          <w:numId w:val="6"/>
        </w:numPr>
        <w:spacing w:line="360" w:lineRule="auto"/>
        <w:ind w:left="0" w:leftChars="0" w:firstLine="0" w:firstLine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sz w:val="32"/>
          <w:szCs w:val="32"/>
          <w:shd w:val="clear" w:color="auto" w:fill="FFFFFF"/>
        </w:rPr>
        <w:t>进餐宜细嚼慢咽，摄入同样食物，细嚼慢咽有利于减少总食量</w:t>
      </w:r>
    </w:p>
    <w:p w14:paraId="7CA7B161">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sz w:val="32"/>
          <w:szCs w:val="32"/>
          <w:shd w:val="clear" w:color="auto" w:fill="FFFFFF"/>
        </w:rPr>
        <w:t>肥胖患者减重的运动原则</w:t>
      </w:r>
      <w:r>
        <w:rPr>
          <w:rFonts w:hint="eastAsia" w:ascii="仿宋_GB2312" w:hAnsi="仿宋_GB2312" w:eastAsia="仿宋_GB2312" w:cs="仿宋_GB2312"/>
          <w:spacing w:val="8"/>
          <w:sz w:val="32"/>
          <w:szCs w:val="32"/>
          <w:shd w:val="clear" w:color="auto" w:fill="FFFFFF"/>
          <w:lang w:eastAsia="zh-CN"/>
        </w:rPr>
        <w:t>不包括有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28EB424D">
      <w:pPr>
        <w:keepNext w:val="0"/>
        <w:keepLines w:val="0"/>
        <w:pageBreakBefore w:val="0"/>
        <w:numPr>
          <w:ilvl w:val="0"/>
          <w:numId w:val="8"/>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中低强度有氧运动为主，抗阻运动为辅</w:t>
      </w:r>
    </w:p>
    <w:p w14:paraId="62F59883">
      <w:pPr>
        <w:keepNext w:val="0"/>
        <w:keepLines w:val="0"/>
        <w:pageBreakBefore w:val="0"/>
        <w:numPr>
          <w:ilvl w:val="0"/>
          <w:numId w:val="8"/>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sz w:val="32"/>
          <w:szCs w:val="32"/>
          <w:shd w:val="clear" w:color="auto" w:fill="FFFFFF"/>
        </w:rPr>
        <w:t>每周进行 150～300 分钟中等强度的有氧运动</w:t>
      </w:r>
    </w:p>
    <w:p w14:paraId="7D4342C4">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sz w:val="32"/>
          <w:szCs w:val="32"/>
          <w:shd w:val="clear" w:color="auto" w:fill="FFFFFF"/>
        </w:rPr>
        <w:t>抗阻运动每周 2～3 天，隔天 1 次，每次 10～20 分钟</w:t>
      </w:r>
    </w:p>
    <w:p w14:paraId="5C49CC6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sz w:val="32"/>
          <w:szCs w:val="32"/>
          <w:shd w:val="clear" w:color="auto" w:fill="FFFFFF"/>
        </w:rPr>
        <w:t xml:space="preserve">每周通过运动消耗能量 </w:t>
      </w:r>
      <w:r>
        <w:rPr>
          <w:rFonts w:hint="eastAsia" w:ascii="仿宋_GB2312" w:hAnsi="仿宋_GB2312" w:eastAsia="仿宋_GB2312" w:cs="仿宋_GB2312"/>
          <w:spacing w:val="8"/>
          <w:sz w:val="32"/>
          <w:szCs w:val="32"/>
          <w:shd w:val="clear" w:color="auto" w:fill="FFFFFF"/>
          <w:lang w:val="en-US" w:eastAsia="zh-CN"/>
        </w:rPr>
        <w:t>3</w:t>
      </w:r>
      <w:r>
        <w:rPr>
          <w:rFonts w:hint="eastAsia" w:ascii="仿宋_GB2312" w:hAnsi="仿宋_GB2312" w:eastAsia="仿宋_GB2312" w:cs="仿宋_GB2312"/>
          <w:spacing w:val="8"/>
          <w:sz w:val="32"/>
          <w:szCs w:val="32"/>
          <w:shd w:val="clear" w:color="auto" w:fill="FFFFFF"/>
        </w:rPr>
        <w:t>000kcal 或以上</w:t>
      </w:r>
    </w:p>
    <w:p w14:paraId="0F21B87F">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肥胖分型与</w:t>
      </w:r>
      <w:r>
        <w:rPr>
          <w:rFonts w:hint="eastAsia" w:ascii="仿宋_GB2312" w:hAnsi="仿宋_GB2312" w:eastAsia="仿宋_GB2312" w:cs="仿宋_GB2312"/>
          <w:spacing w:val="8"/>
          <w:kern w:val="2"/>
          <w:sz w:val="32"/>
          <w:szCs w:val="32"/>
          <w:shd w:val="clear" w:color="auto" w:fill="FFFFFF"/>
          <w:lang w:val="en-US" w:eastAsia="zh-CN" w:bidi="ar-SA"/>
        </w:rPr>
        <w:t>选择食药物质不正确的是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46BA4E9C">
      <w:pPr>
        <w:keepNext w:val="0"/>
        <w:keepLines w:val="0"/>
        <w:pageBreakBefore w:val="0"/>
        <w:numPr>
          <w:ilvl w:val="0"/>
          <w:numId w:val="9"/>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kern w:val="2"/>
          <w:sz w:val="32"/>
          <w:szCs w:val="32"/>
          <w:shd w:val="clear" w:color="auto" w:fill="FFFFFF"/>
          <w:lang w:val="en-US" w:eastAsia="zh-CN" w:bidi="ar-SA"/>
        </w:rPr>
        <w:t>胃热火郁证采用具有清胃热、消导滞作用的食物，如铁皮石斛、麦芽等</w:t>
      </w:r>
    </w:p>
    <w:p w14:paraId="21B445DA">
      <w:pPr>
        <w:keepNext w:val="0"/>
        <w:keepLines w:val="0"/>
        <w:pageBreakBefore w:val="0"/>
        <w:numPr>
          <w:ilvl w:val="0"/>
          <w:numId w:val="9"/>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kern w:val="2"/>
          <w:sz w:val="32"/>
          <w:szCs w:val="32"/>
          <w:shd w:val="clear" w:color="auto" w:fill="FFFFFF"/>
          <w:lang w:val="en-US" w:eastAsia="zh-CN" w:bidi="ar-SA"/>
        </w:rPr>
        <w:t>痰湿内盛证采用化痰消滞作用的食药物质，如薏苡仁、橘皮、砂仁等</w:t>
      </w:r>
    </w:p>
    <w:p w14:paraId="1CCCC8C9">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kern w:val="2"/>
          <w:sz w:val="32"/>
          <w:szCs w:val="32"/>
          <w:shd w:val="clear" w:color="auto" w:fill="FFFFFF"/>
          <w:lang w:val="en-US" w:eastAsia="zh-CN" w:bidi="ar-SA"/>
        </w:rPr>
        <w:t>气郁血瘀证采用理气化瘀作用的食药物质，如橘皮、山楂、当归等</w:t>
      </w:r>
    </w:p>
    <w:p w14:paraId="47348A10">
      <w:pPr>
        <w:widowControl w:val="0"/>
        <w:numPr>
          <w:ilvl w:val="0"/>
          <w:numId w:val="0"/>
        </w:numPr>
        <w:spacing w:line="360" w:lineRule="auto"/>
        <w:ind w:leftChars="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kern w:val="2"/>
          <w:sz w:val="32"/>
          <w:szCs w:val="32"/>
          <w:shd w:val="clear" w:color="auto" w:fill="FFFFFF"/>
          <w:lang w:val="en-US" w:eastAsia="zh-CN" w:bidi="ar-SA"/>
        </w:rPr>
        <w:t>脾虚不运证采用健脾益气作用的食药物质，如小茴香、山药、肉桂等</w:t>
      </w:r>
    </w:p>
    <w:p w14:paraId="5AA2C501">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科学减重，</w:t>
      </w:r>
      <w:r>
        <w:rPr>
          <w:rFonts w:hint="eastAsia" w:ascii="仿宋_GB2312" w:hAnsi="仿宋_GB2312" w:eastAsia="仿宋_GB2312" w:cs="仿宋_GB2312"/>
          <w:spacing w:val="8"/>
          <w:kern w:val="2"/>
          <w:sz w:val="32"/>
          <w:szCs w:val="32"/>
          <w:shd w:val="clear" w:color="auto" w:fill="FFFFFF"/>
          <w:lang w:val="en-US" w:eastAsia="zh-CN" w:bidi="ar-SA"/>
        </w:rPr>
        <w:t>较为理想的减重目标应该是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12448FB1">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6 个月内减少当前体重的 5%～10%</w:t>
      </w:r>
    </w:p>
    <w:p w14:paraId="25422EBC">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合理的减重速度为每月减 2～4kg</w:t>
      </w:r>
    </w:p>
    <w:p w14:paraId="22190F30">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建议在减重初始时设立体重减轻约每周 0.5kg 的目标</w:t>
      </w:r>
    </w:p>
    <w:p w14:paraId="726052A0">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建议在减重初始时设立体重减轻约每周 1kg 的目标</w:t>
      </w:r>
    </w:p>
    <w:p w14:paraId="62354F74">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在减重过程中应注意自我监测不包括有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6A183364">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spacing w:val="8"/>
          <w:sz w:val="32"/>
          <w:szCs w:val="32"/>
          <w:lang w:val="en-US" w:eastAsia="zh-CN"/>
        </w:rPr>
        <w:t>A.</w:t>
      </w:r>
      <w:r>
        <w:rPr>
          <w:rFonts w:hint="eastAsia" w:ascii="仿宋_GB2312" w:hAnsi="仿宋_GB2312" w:eastAsia="仿宋_GB2312" w:cs="仿宋_GB2312"/>
          <w:spacing w:val="8"/>
          <w:kern w:val="2"/>
          <w:sz w:val="32"/>
          <w:szCs w:val="32"/>
          <w:shd w:val="clear" w:color="auto" w:fill="FFFFFF"/>
          <w:lang w:val="en-US" w:eastAsia="zh-CN" w:bidi="ar-SA"/>
        </w:rPr>
        <w:t>血压、心率变化的监测</w:t>
      </w:r>
    </w:p>
    <w:p w14:paraId="198AB21A">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sz w:val="32"/>
          <w:szCs w:val="32"/>
          <w:lang w:val="en-US" w:eastAsia="zh-CN"/>
        </w:rPr>
        <w:t>B.</w:t>
      </w:r>
      <w:r>
        <w:rPr>
          <w:rFonts w:hint="eastAsia" w:ascii="仿宋_GB2312" w:hAnsi="仿宋_GB2312" w:eastAsia="仿宋_GB2312" w:cs="仿宋_GB2312"/>
          <w:spacing w:val="8"/>
          <w:kern w:val="2"/>
          <w:sz w:val="32"/>
          <w:szCs w:val="32"/>
          <w:shd w:val="clear" w:color="auto" w:fill="FFFFFF"/>
          <w:lang w:val="en-US" w:eastAsia="zh-CN" w:bidi="ar-SA"/>
        </w:rPr>
        <w:t>食物摄入量的监测</w:t>
      </w:r>
    </w:p>
    <w:p w14:paraId="046DC0F8">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kern w:val="2"/>
          <w:sz w:val="32"/>
          <w:szCs w:val="32"/>
          <w:shd w:val="clear" w:color="auto" w:fill="FFFFFF"/>
          <w:lang w:val="en-US" w:eastAsia="zh-CN" w:bidi="ar-SA"/>
        </w:rPr>
        <w:t>身体活动情况的监测</w:t>
      </w:r>
    </w:p>
    <w:p w14:paraId="385B0ADA">
      <w:pPr>
        <w:widowControl w:val="0"/>
        <w:numPr>
          <w:ilvl w:val="0"/>
          <w:numId w:val="0"/>
        </w:numPr>
        <w:spacing w:line="360" w:lineRule="auto"/>
        <w:ind w:leftChars="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kern w:val="2"/>
          <w:sz w:val="32"/>
          <w:szCs w:val="32"/>
          <w:shd w:val="clear" w:color="auto" w:fill="FFFFFF"/>
          <w:lang w:val="en-US" w:eastAsia="zh-CN" w:bidi="ar-SA"/>
        </w:rPr>
        <w:t>体脂率和肌肉量变化的监测</w:t>
      </w: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7"/>
      <w:numFmt w:val="decimal"/>
      <w:suff w:val="nothing"/>
      <w:lvlText w:val="%1、"/>
      <w:lvlJc w:val="left"/>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1"/>
      <w:numFmt w:val="decimal"/>
      <w:suff w:val="nothing"/>
      <w:lvlText w:val="%1、"/>
      <w:lvlJc w:val="left"/>
      <w:pPr>
        <w:ind w:left="360"/>
      </w:pPr>
    </w:lvl>
  </w:abstractNum>
  <w:abstractNum w:abstractNumId="3">
    <w:nsid w:val="00000003"/>
    <w:multiLevelType w:val="singleLevel"/>
    <w:tmpl w:val="00000003"/>
    <w:lvl w:ilvl="0" w:tentative="0">
      <w:start w:val="1"/>
      <w:numFmt w:val="upperLetter"/>
      <w:suff w:val="space"/>
      <w:lvlText w:val="%1."/>
      <w:lvlJc w:val="left"/>
    </w:lvl>
  </w:abstractNum>
  <w:abstractNum w:abstractNumId="4">
    <w:nsid w:val="00000004"/>
    <w:multiLevelType w:val="singleLevel"/>
    <w:tmpl w:val="00000004"/>
    <w:lvl w:ilvl="0" w:tentative="0">
      <w:start w:val="1"/>
      <w:numFmt w:val="upperLetter"/>
      <w:suff w:val="space"/>
      <w:lvlText w:val="%1."/>
      <w:lvlJc w:val="left"/>
    </w:lvl>
  </w:abstractNum>
  <w:abstractNum w:abstractNumId="5">
    <w:nsid w:val="00000005"/>
    <w:multiLevelType w:val="singleLevel"/>
    <w:tmpl w:val="00000005"/>
    <w:lvl w:ilvl="0" w:tentative="0">
      <w:start w:val="1"/>
      <w:numFmt w:val="upperLetter"/>
      <w:suff w:val="space"/>
      <w:lvlText w:val="%1."/>
      <w:lvlJc w:val="left"/>
    </w:lvl>
  </w:abstractNum>
  <w:abstractNum w:abstractNumId="6">
    <w:nsid w:val="00000006"/>
    <w:multiLevelType w:val="singleLevel"/>
    <w:tmpl w:val="00000006"/>
    <w:lvl w:ilvl="0" w:tentative="0">
      <w:start w:val="1"/>
      <w:numFmt w:val="upperLetter"/>
      <w:suff w:val="space"/>
      <w:lvlText w:val="%1."/>
      <w:lvlJc w:val="left"/>
    </w:lvl>
  </w:abstractNum>
  <w:abstractNum w:abstractNumId="7">
    <w:nsid w:val="00000007"/>
    <w:multiLevelType w:val="singleLevel"/>
    <w:tmpl w:val="00000007"/>
    <w:lvl w:ilvl="0" w:tentative="0">
      <w:start w:val="1"/>
      <w:numFmt w:val="upperLetter"/>
      <w:suff w:val="space"/>
      <w:lvlText w:val="%1."/>
      <w:lvlJc w:val="left"/>
    </w:lvl>
  </w:abstractNum>
  <w:abstractNum w:abstractNumId="8">
    <w:nsid w:val="00000008"/>
    <w:multiLevelType w:val="singleLevel"/>
    <w:tmpl w:val="00000008"/>
    <w:lvl w:ilvl="0" w:tentative="0">
      <w:start w:val="3"/>
      <w:numFmt w:val="upperLetter"/>
      <w:suff w:val="space"/>
      <w:lvlText w:val="%1."/>
      <w:lvlJc w:val="left"/>
    </w:lvl>
  </w:abstractNum>
  <w:abstractNum w:abstractNumId="9">
    <w:nsid w:val="00000009"/>
    <w:multiLevelType w:val="singleLevel"/>
    <w:tmpl w:val="00000009"/>
    <w:lvl w:ilvl="0" w:tentative="0">
      <w:start w:val="1"/>
      <w:numFmt w:val="upperLetter"/>
      <w:suff w:val="space"/>
      <w:lvlText w:val="%1."/>
      <w:lvlJc w:val="left"/>
    </w:lvl>
  </w:abstractNum>
  <w:num w:numId="1">
    <w:abstractNumId w:val="1"/>
  </w:num>
  <w:num w:numId="2">
    <w:abstractNumId w:val="2"/>
  </w:num>
  <w:num w:numId="3">
    <w:abstractNumId w:val="4"/>
  </w:num>
  <w:num w:numId="4">
    <w:abstractNumId w:val="3"/>
  </w:num>
  <w:num w:numId="5">
    <w:abstractNumId w:val="7"/>
  </w:num>
  <w:num w:numId="6">
    <w:abstractNumId w:val="8"/>
  </w:num>
  <w:num w:numId="7">
    <w:abstractNumId w:val="0"/>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15700E"/>
    <w:rsid w:val="0FDD0B99"/>
    <w:rsid w:val="164107F7"/>
    <w:rsid w:val="17522019"/>
    <w:rsid w:val="47160E92"/>
    <w:rsid w:val="569A4D2C"/>
    <w:rsid w:val="6E7C4A8F"/>
    <w:rsid w:val="70395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qFormat/>
    <w:uiPriority w:val="1"/>
  </w:style>
  <w:style w:type="table" w:default="1" w:styleId="6">
    <w:name w:val="Normal Table"/>
    <w:autoRedefine/>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customStyle="1" w:styleId="9">
    <w:name w:val="标题 1 字符"/>
    <w:basedOn w:val="7"/>
    <w:link w:val="2"/>
    <w:autoRedefine/>
    <w:qFormat/>
    <w:uiPriority w:val="9"/>
    <w:rPr>
      <w:rFonts w:ascii="宋体" w:hAnsi="宋体" w:eastAsia="宋体" w:cs="宋体"/>
      <w:b/>
      <w:bCs/>
      <w:kern w:val="36"/>
      <w:sz w:val="48"/>
      <w:szCs w:val="48"/>
    </w:rPr>
  </w:style>
  <w:style w:type="paragraph" w:styleId="10">
    <w:name w:val="List Paragraph"/>
    <w:basedOn w:val="1"/>
    <w:autoRedefine/>
    <w:qFormat/>
    <w:uiPriority w:val="34"/>
    <w:pPr>
      <w:ind w:firstLine="420" w:firstLineChars="200"/>
    </w:pPr>
  </w:style>
  <w:style w:type="character" w:customStyle="1" w:styleId="11">
    <w:name w:val="页眉 字符"/>
    <w:basedOn w:val="7"/>
    <w:link w:val="4"/>
    <w:autoRedefine/>
    <w:qFormat/>
    <w:uiPriority w:val="99"/>
    <w:rPr>
      <w:sz w:val="18"/>
      <w:szCs w:val="18"/>
    </w:rPr>
  </w:style>
  <w:style w:type="character" w:customStyle="1" w:styleId="12">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4641</Words>
  <Characters>5259</Characters>
  <Paragraphs>116</Paragraphs>
  <TotalTime>43</TotalTime>
  <ScaleCrop>false</ScaleCrop>
  <LinksUpToDate>false</LinksUpToDate>
  <CharactersWithSpaces>5641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2022-03-03T13:10:00Z</dcterms:created>
  <dc:creator>王 志茹</dc:creator>
  <cp:lastModifiedBy>lenovo</cp:lastModifiedBy>
  <dcterms:modified xsi:type="dcterms:W3CDTF">2025-06-11T08:28:02Z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3B7ACB83B8AE4BF481AB4ED9483C1A1B_13</vt:lpwstr>
  </property>
  <property fmtid="{D5CDD505-2E9C-101B-9397-08002B2CF9AE}" pid="4" name="KSOTemplateDocerSaveRecord">
    <vt:lpwstr>eyJoZGlkIjoiMDAxYmE2ZWJmM2RkM2I4YjQwM2FjMjkzN2EyMTE1MGUifQ==</vt:lpwstr>
  </property>
</Properties>
</file>